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C5A15C">
      <w:pPr>
        <w:pStyle w:val="2"/>
        <w:keepNext/>
        <w:keepLines/>
        <w:pageBreakBefore w:val="0"/>
        <w:widowControl w:val="0"/>
        <w:kinsoku/>
        <w:wordWrap/>
        <w:overflowPunct/>
        <w:topLinePunct w:val="0"/>
        <w:autoSpaceDE/>
        <w:autoSpaceDN/>
        <w:bidi w:val="0"/>
        <w:adjustRightInd/>
        <w:snapToGrid/>
        <w:spacing w:line="0" w:lineRule="atLeast"/>
        <w:ind w:firstLine="883" w:firstLineChars="200"/>
        <w:textAlignment w:val="auto"/>
        <w:rPr>
          <w:rFonts w:hint="eastAsia"/>
        </w:rPr>
      </w:pPr>
      <w:r>
        <w:rPr>
          <w:rFonts w:hint="eastAsia"/>
        </w:rPr>
        <w:t>2026第九届广州国际应急安全博览会</w:t>
      </w:r>
    </w:p>
    <w:p w14:paraId="4A8C4D46">
      <w:pPr>
        <w:pStyle w:val="3"/>
        <w:keepNext/>
        <w:keepLines/>
        <w:pageBreakBefore w:val="0"/>
        <w:widowControl w:val="0"/>
        <w:kinsoku/>
        <w:wordWrap/>
        <w:overflowPunct/>
        <w:topLinePunct w:val="0"/>
        <w:autoSpaceDE/>
        <w:autoSpaceDN/>
        <w:bidi w:val="0"/>
        <w:adjustRightInd/>
        <w:snapToGrid/>
        <w:spacing w:line="0" w:lineRule="atLeast"/>
        <w:ind w:firstLine="1928" w:firstLineChars="600"/>
        <w:textAlignment w:val="auto"/>
        <w:rPr>
          <w:rFonts w:hint="eastAsia"/>
        </w:rPr>
      </w:pPr>
      <w:r>
        <w:rPr>
          <w:rFonts w:hint="eastAsia"/>
        </w:rPr>
        <w:t>暨第十五届广州国际消防安全展览会</w:t>
      </w:r>
    </w:p>
    <w:p w14:paraId="28DE5BBB">
      <w:pPr>
        <w:pStyle w:val="3"/>
        <w:keepNext/>
        <w:keepLines/>
        <w:pageBreakBefore w:val="0"/>
        <w:widowControl w:val="0"/>
        <w:kinsoku/>
        <w:wordWrap/>
        <w:overflowPunct/>
        <w:topLinePunct w:val="0"/>
        <w:autoSpaceDE/>
        <w:autoSpaceDN/>
        <w:bidi w:val="0"/>
        <w:adjustRightInd/>
        <w:snapToGrid/>
        <w:spacing w:line="0" w:lineRule="atLeast"/>
        <w:ind w:firstLine="1606" w:firstLineChars="500"/>
        <w:textAlignment w:val="auto"/>
        <w:rPr>
          <w:rFonts w:hint="eastAsia"/>
        </w:rPr>
      </w:pPr>
      <w:r>
        <w:rPr>
          <w:rFonts w:hint="eastAsia"/>
        </w:rPr>
        <w:t>2026广州国际火灾爆炸防控技术装备展</w:t>
      </w:r>
    </w:p>
    <w:p w14:paraId="3169509D">
      <w:pPr>
        <w:pStyle w:val="3"/>
        <w:keepNext/>
        <w:keepLines/>
        <w:pageBreakBefore w:val="0"/>
        <w:widowControl w:val="0"/>
        <w:kinsoku/>
        <w:wordWrap/>
        <w:overflowPunct/>
        <w:topLinePunct w:val="0"/>
        <w:autoSpaceDE/>
        <w:autoSpaceDN/>
        <w:bidi w:val="0"/>
        <w:adjustRightInd/>
        <w:snapToGrid/>
        <w:spacing w:line="0" w:lineRule="atLeast"/>
        <w:textAlignment w:val="auto"/>
        <w:rPr>
          <w:rFonts w:hint="eastAsia"/>
        </w:rPr>
      </w:pPr>
      <w:r>
        <w:rPr>
          <w:rFonts w:hint="eastAsia"/>
        </w:rPr>
        <w:t xml:space="preserve">              </w:t>
      </w:r>
      <w:r>
        <w:rPr>
          <w:rFonts w:hint="eastAsia"/>
          <w:lang w:val="en-US" w:eastAsia="zh-CN"/>
        </w:rPr>
        <w:t xml:space="preserve">  </w:t>
      </w:r>
      <w:bookmarkStart w:id="0" w:name="_GoBack"/>
      <w:bookmarkEnd w:id="0"/>
      <w:r>
        <w:rPr>
          <w:rFonts w:hint="eastAsia"/>
        </w:rPr>
        <w:t>2026广州国际安全防护展</w:t>
      </w:r>
    </w:p>
    <w:p w14:paraId="1C9C4F3E">
      <w:pPr>
        <w:rPr>
          <w:rFonts w:hint="eastAsia" w:eastAsiaTheme="minorEastAsia"/>
          <w:lang w:eastAsia="zh-CN"/>
        </w:rPr>
      </w:pPr>
      <w:r>
        <w:rPr>
          <w:rFonts w:hint="eastAsia" w:eastAsiaTheme="minorEastAsia"/>
          <w:lang w:eastAsia="zh-CN"/>
        </w:rPr>
        <w:drawing>
          <wp:inline distT="0" distB="0" distL="114300" distR="114300">
            <wp:extent cx="5676900" cy="2633980"/>
            <wp:effectExtent l="0" t="0" r="0" b="13970"/>
            <wp:docPr id="1" name="图片 1" descr="思源字体1000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思源字体1000 500"/>
                    <pic:cNvPicPr>
                      <a:picLocks noChangeAspect="1"/>
                    </pic:cNvPicPr>
                  </pic:nvPicPr>
                  <pic:blipFill>
                    <a:blip r:embed="rId4"/>
                    <a:stretch>
                      <a:fillRect/>
                    </a:stretch>
                  </pic:blipFill>
                  <pic:spPr>
                    <a:xfrm>
                      <a:off x="0" y="0"/>
                      <a:ext cx="5676900" cy="2633980"/>
                    </a:xfrm>
                    <a:prstGeom prst="rect">
                      <a:avLst/>
                    </a:prstGeom>
                  </pic:spPr>
                </pic:pic>
              </a:graphicData>
            </a:graphic>
          </wp:inline>
        </w:drawing>
      </w:r>
    </w:p>
    <w:p w14:paraId="641244CF">
      <w:pPr>
        <w:rPr>
          <w:rFonts w:hint="eastAsia" w:ascii="黑体" w:hAnsi="黑体" w:eastAsia="黑体" w:cs="黑体"/>
          <w:b/>
          <w:bCs/>
          <w:sz w:val="24"/>
          <w:szCs w:val="24"/>
        </w:rPr>
      </w:pPr>
      <w:r>
        <w:rPr>
          <w:rFonts w:hint="eastAsia" w:ascii="黑体" w:hAnsi="黑体" w:eastAsia="黑体" w:cs="黑体"/>
          <w:b/>
          <w:bCs/>
          <w:sz w:val="24"/>
          <w:szCs w:val="24"/>
        </w:rPr>
        <w:t>指导单位</w:t>
      </w:r>
    </w:p>
    <w:p w14:paraId="3D62CF88">
      <w:pPr>
        <w:rPr>
          <w:rFonts w:hint="eastAsia"/>
          <w:sz w:val="24"/>
          <w:szCs w:val="24"/>
        </w:rPr>
      </w:pPr>
      <w:r>
        <w:rPr>
          <w:rFonts w:hint="eastAsia"/>
          <w:sz w:val="24"/>
          <w:szCs w:val="24"/>
        </w:rPr>
        <w:t>广东省应急管理厅</w:t>
      </w:r>
    </w:p>
    <w:p w14:paraId="7B245CA0">
      <w:pPr>
        <w:rPr>
          <w:rFonts w:hint="eastAsia" w:ascii="黑体" w:hAnsi="黑体" w:eastAsia="黑体" w:cs="黑体"/>
          <w:b/>
          <w:bCs/>
          <w:sz w:val="24"/>
          <w:szCs w:val="24"/>
        </w:rPr>
      </w:pPr>
      <w:r>
        <w:rPr>
          <w:rFonts w:hint="eastAsia" w:ascii="黑体" w:hAnsi="黑体" w:eastAsia="黑体" w:cs="黑体"/>
          <w:b/>
          <w:bCs/>
          <w:sz w:val="24"/>
          <w:szCs w:val="24"/>
        </w:rPr>
        <w:t>主办单位</w:t>
      </w:r>
    </w:p>
    <w:p w14:paraId="7CD238DB">
      <w:pPr>
        <w:rPr>
          <w:rFonts w:hint="eastAsia"/>
          <w:sz w:val="24"/>
          <w:szCs w:val="24"/>
        </w:rPr>
      </w:pPr>
      <w:r>
        <w:rPr>
          <w:rFonts w:hint="eastAsia"/>
          <w:sz w:val="24"/>
          <w:szCs w:val="24"/>
        </w:rPr>
        <w:t>中国机械工业安全卫生协会</w:t>
      </w:r>
    </w:p>
    <w:p w14:paraId="50F9396A">
      <w:pPr>
        <w:rPr>
          <w:rFonts w:hint="eastAsia"/>
          <w:sz w:val="24"/>
          <w:szCs w:val="24"/>
        </w:rPr>
      </w:pPr>
      <w:r>
        <w:rPr>
          <w:rFonts w:hint="eastAsia"/>
          <w:sz w:val="24"/>
          <w:szCs w:val="24"/>
        </w:rPr>
        <w:t>广东省安全应急产业联盟</w:t>
      </w:r>
    </w:p>
    <w:p w14:paraId="631D8184">
      <w:pPr>
        <w:rPr>
          <w:rFonts w:hint="eastAsia"/>
          <w:sz w:val="24"/>
          <w:szCs w:val="24"/>
        </w:rPr>
      </w:pPr>
      <w:r>
        <w:rPr>
          <w:rFonts w:hint="eastAsia"/>
          <w:sz w:val="24"/>
          <w:szCs w:val="24"/>
        </w:rPr>
        <w:t>广东省应急管理服务协会</w:t>
      </w:r>
    </w:p>
    <w:p w14:paraId="6111D50B">
      <w:pPr>
        <w:rPr>
          <w:rFonts w:hint="eastAsia"/>
          <w:sz w:val="24"/>
          <w:szCs w:val="24"/>
        </w:rPr>
      </w:pPr>
      <w:r>
        <w:rPr>
          <w:rFonts w:hint="eastAsia"/>
          <w:sz w:val="24"/>
          <w:szCs w:val="24"/>
        </w:rPr>
        <w:t>广东省安全生产协会</w:t>
      </w:r>
    </w:p>
    <w:p w14:paraId="5B604D3E">
      <w:pPr>
        <w:rPr>
          <w:rFonts w:hint="eastAsia"/>
          <w:sz w:val="24"/>
          <w:szCs w:val="24"/>
        </w:rPr>
      </w:pPr>
      <w:r>
        <w:rPr>
          <w:rFonts w:hint="eastAsia"/>
          <w:sz w:val="24"/>
          <w:szCs w:val="24"/>
        </w:rPr>
        <w:t>广东省应急协会</w:t>
      </w:r>
    </w:p>
    <w:p w14:paraId="118C882F">
      <w:pPr>
        <w:rPr>
          <w:rFonts w:hint="eastAsia"/>
          <w:sz w:val="24"/>
          <w:szCs w:val="24"/>
        </w:rPr>
      </w:pPr>
      <w:r>
        <w:rPr>
          <w:rFonts w:hint="eastAsia"/>
          <w:sz w:val="24"/>
          <w:szCs w:val="24"/>
        </w:rPr>
        <w:t>广东省消防协会</w:t>
      </w:r>
    </w:p>
    <w:p w14:paraId="5A1AA40E">
      <w:pPr>
        <w:rPr>
          <w:rFonts w:hint="eastAsia"/>
          <w:sz w:val="24"/>
          <w:szCs w:val="24"/>
        </w:rPr>
      </w:pPr>
      <w:r>
        <w:rPr>
          <w:rFonts w:hint="eastAsia"/>
          <w:sz w:val="24"/>
          <w:szCs w:val="24"/>
        </w:rPr>
        <w:t>广东省减灾救灾应急协会</w:t>
      </w:r>
    </w:p>
    <w:p w14:paraId="0FD088BD">
      <w:pPr>
        <w:rPr>
          <w:rFonts w:hint="eastAsia" w:ascii="黑体" w:hAnsi="黑体" w:eastAsia="黑体" w:cs="黑体"/>
          <w:b/>
          <w:bCs/>
          <w:sz w:val="24"/>
          <w:szCs w:val="24"/>
        </w:rPr>
      </w:pPr>
      <w:r>
        <w:rPr>
          <w:rFonts w:hint="eastAsia" w:ascii="黑体" w:hAnsi="黑体" w:eastAsia="黑体" w:cs="黑体"/>
          <w:b/>
          <w:bCs/>
          <w:sz w:val="24"/>
          <w:szCs w:val="24"/>
        </w:rPr>
        <w:t>承办单位</w:t>
      </w:r>
    </w:p>
    <w:p w14:paraId="1B41A638">
      <w:pPr>
        <w:rPr>
          <w:rFonts w:hint="eastAsia"/>
          <w:sz w:val="24"/>
          <w:szCs w:val="24"/>
        </w:rPr>
      </w:pPr>
      <w:r>
        <w:rPr>
          <w:rFonts w:hint="eastAsia"/>
          <w:sz w:val="24"/>
          <w:szCs w:val="24"/>
        </w:rPr>
        <w:t>广州国坤立升展览有限公司</w:t>
      </w:r>
    </w:p>
    <w:p w14:paraId="1CE53362">
      <w:pPr>
        <w:rPr>
          <w:rFonts w:hint="eastAsia" w:eastAsiaTheme="minorEastAsia"/>
          <w:lang w:eastAsia="zh-CN"/>
        </w:rPr>
      </w:pPr>
      <w:r>
        <w:rPr>
          <w:rFonts w:hint="eastAsia" w:eastAsiaTheme="minorEastAsia"/>
          <w:lang w:eastAsia="zh-CN"/>
        </w:rPr>
        <w:drawing>
          <wp:inline distT="0" distB="0" distL="114300" distR="114300">
            <wp:extent cx="5666105" cy="1795145"/>
            <wp:effectExtent l="0" t="0" r="10795" b="14605"/>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5"/>
                    <a:stretch>
                      <a:fillRect/>
                    </a:stretch>
                  </pic:blipFill>
                  <pic:spPr>
                    <a:xfrm>
                      <a:off x="0" y="0"/>
                      <a:ext cx="5666105" cy="1795145"/>
                    </a:xfrm>
                    <a:prstGeom prst="rect">
                      <a:avLst/>
                    </a:prstGeom>
                  </pic:spPr>
                </pic:pic>
              </a:graphicData>
            </a:graphic>
          </wp:inline>
        </w:drawing>
      </w:r>
    </w:p>
    <w:p w14:paraId="1C7453A2">
      <w:pPr>
        <w:rPr>
          <w:rFonts w:hint="eastAsia" w:ascii="黑体" w:hAnsi="黑体" w:eastAsia="黑体" w:cs="黑体"/>
          <w:b/>
          <w:bCs/>
          <w:sz w:val="24"/>
          <w:szCs w:val="24"/>
        </w:rPr>
      </w:pPr>
      <w:r>
        <w:rPr>
          <w:rFonts w:hint="eastAsia" w:ascii="黑体" w:hAnsi="黑体" w:eastAsia="黑体" w:cs="黑体"/>
          <w:b/>
          <w:bCs/>
          <w:sz w:val="24"/>
          <w:szCs w:val="24"/>
        </w:rPr>
        <w:t>一、展会简介</w:t>
      </w:r>
    </w:p>
    <w:p w14:paraId="02BAA344">
      <w:pPr>
        <w:ind w:firstLine="480" w:firstLineChars="200"/>
        <w:rPr>
          <w:rFonts w:hint="eastAsia" w:ascii="宋体" w:hAnsi="宋体" w:eastAsia="宋体" w:cs="宋体"/>
          <w:sz w:val="24"/>
          <w:szCs w:val="24"/>
        </w:rPr>
      </w:pPr>
      <w:r>
        <w:rPr>
          <w:rFonts w:hint="eastAsia" w:ascii="宋体" w:hAnsi="宋体" w:eastAsia="宋体" w:cs="宋体"/>
          <w:sz w:val="24"/>
          <w:szCs w:val="24"/>
        </w:rPr>
        <w:t>广州国际应急安全博览会作为应急安全领域大型展览活动，是粤港澳大湾区规模最大、连续四年入选“粤贸全国”的区域有影响力的应急安全行业旗舰盛会。2025年6月，恰逢第24个全国“安全生产月”，围绕“人人讲安全 个个会应急——查找身边安全隐患”主题，由广东省安全生产委员会、广州市安全生产委员会主办，广东省应急管理厅、广州市应急管理局承办，海珠区安全生产委员会、广州国际应急安全博览会组委会协办的“2025年广东省、广州市安全宣传咨询日活动”启动仪式在广州广交会展馆举办，作为该活动的核心亮点，2025广州国际应急安全博览会同期成功举办，创下了80000㎡展区规模，汇聚全球应急安全领域的1017家行业领军企业，吸引超5.7万专业观众的亮眼成绩，成功构建了“龙头引领+专精特新”协同展示的产业生态。</w:t>
      </w:r>
    </w:p>
    <w:p w14:paraId="3E8D6137">
      <w:pPr>
        <w:ind w:firstLine="480" w:firstLineChars="200"/>
        <w:rPr>
          <w:rFonts w:hint="eastAsia" w:ascii="宋体" w:hAnsi="宋体" w:eastAsia="宋体" w:cs="宋体"/>
          <w:sz w:val="24"/>
          <w:szCs w:val="24"/>
        </w:rPr>
      </w:pPr>
      <w:r>
        <w:rPr>
          <w:rFonts w:hint="eastAsia" w:ascii="宋体" w:hAnsi="宋体" w:eastAsia="宋体" w:cs="宋体"/>
          <w:sz w:val="24"/>
          <w:szCs w:val="24"/>
        </w:rPr>
        <w:t>2026年是“十五五”规划开局之年，正值我国应急管理体系和能力现代化建设的关键时期。第9届广州国际应急安全博览会将于2026年6月16-18日在广州·广交会展馆A区盛大启幕。本届展会以国务院《“十四五”国家应急体系规划》为纲领，聚焦“依法应急、科学应急、智慧应急”战略目标，全力服务2035年中国特色大国应急体系建设。展会在广东省应急管理厅指导下，由中国机械工业安全卫生协会、广东省安全应急产业联盟、广东省应急管理服务协会、广东省安全生产协会、广东省应急协会、广东省消防协会、广东省减灾救灾应急协会等多家权威行业组织联合主办，广州国坤立升展览有限公司承办。</w:t>
      </w:r>
    </w:p>
    <w:p w14:paraId="7A0F7EC4">
      <w:pPr>
        <w:ind w:firstLine="480" w:firstLineChars="200"/>
        <w:rPr>
          <w:rFonts w:hint="eastAsia" w:ascii="宋体" w:hAnsi="宋体" w:eastAsia="宋体" w:cs="宋体"/>
          <w:sz w:val="24"/>
          <w:szCs w:val="24"/>
        </w:rPr>
      </w:pPr>
      <w:r>
        <w:rPr>
          <w:rFonts w:hint="eastAsia" w:ascii="宋体" w:hAnsi="宋体" w:eastAsia="宋体" w:cs="宋体"/>
          <w:sz w:val="24"/>
          <w:szCs w:val="24"/>
        </w:rPr>
        <w:t>本届展会规划设立15大专业展区，涵盖应急装备、智慧应急、低空经济与应急救援、燃气安全、消防安全、安全防护、森林消防、水域救援、环境应急、工业防爆、储能安全、综合管廊、交通应急、水利应急、氢能安全等全产业链条，预计吸引超过1200家国内外优秀企业参展，系统展示前沿技术装备与解决方案。</w:t>
      </w:r>
    </w:p>
    <w:p w14:paraId="0BC932FA">
      <w:pPr>
        <w:ind w:firstLine="480" w:firstLineChars="200"/>
        <w:rPr>
          <w:rFonts w:hint="eastAsia" w:ascii="宋体" w:hAnsi="宋体" w:eastAsia="宋体" w:cs="宋体"/>
          <w:sz w:val="24"/>
          <w:szCs w:val="24"/>
        </w:rPr>
      </w:pPr>
      <w:r>
        <w:rPr>
          <w:rFonts w:hint="eastAsia" w:ascii="宋体" w:hAnsi="宋体" w:eastAsia="宋体" w:cs="宋体"/>
          <w:sz w:val="24"/>
          <w:szCs w:val="24"/>
        </w:rPr>
        <w:t>同期将举办国际应急产业高质量发展论坛、政企对接洽谈会、社会救援综合演练等多场高规格活动，汇聚全球应急安全领域的政府部门、科研单位及行业组织代表。以“全链条整合、全产业协同、全生态创新”为核心理念，致力打造国内规模领先、规格顶尖的应急安全行业旗舰盛会。届时，来自世界各地的应急安全领域政府领导、科研机构、知名企业家及行业组织代表将齐聚广州。通过高效的政企对接、产学融合、国际合作与商贸交流平台，共商产业未来，共筑安全基石，同担防灾减灾之责。</w:t>
      </w:r>
    </w:p>
    <w:p w14:paraId="5ED07829">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38800" cy="3605530"/>
            <wp:effectExtent l="0" t="0" r="0" b="13970"/>
            <wp:docPr id="43" name="图片 43" descr="DSC05665-opq373332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SC05665-opq3733327562"/>
                    <pic:cNvPicPr>
                      <a:picLocks noChangeAspect="1"/>
                    </pic:cNvPicPr>
                  </pic:nvPicPr>
                  <pic:blipFill>
                    <a:blip r:embed="rId6"/>
                    <a:stretch>
                      <a:fillRect/>
                    </a:stretch>
                  </pic:blipFill>
                  <pic:spPr>
                    <a:xfrm>
                      <a:off x="0" y="0"/>
                      <a:ext cx="5638800" cy="3605530"/>
                    </a:xfrm>
                    <a:prstGeom prst="rect">
                      <a:avLst/>
                    </a:prstGeom>
                  </pic:spPr>
                </pic:pic>
              </a:graphicData>
            </a:graphic>
          </wp:inline>
        </w:drawing>
      </w:r>
    </w:p>
    <w:p w14:paraId="6781B6C2">
      <w:pPr>
        <w:rPr>
          <w:rFonts w:hint="eastAsia" w:ascii="黑体" w:hAnsi="黑体" w:eastAsia="黑体" w:cs="黑体"/>
          <w:b/>
          <w:bCs/>
          <w:sz w:val="24"/>
          <w:szCs w:val="24"/>
        </w:rPr>
      </w:pPr>
      <w:r>
        <w:rPr>
          <w:rFonts w:hint="eastAsia" w:ascii="黑体" w:hAnsi="黑体" w:eastAsia="黑体" w:cs="黑体"/>
          <w:b/>
          <w:bCs/>
          <w:sz w:val="24"/>
          <w:szCs w:val="24"/>
        </w:rPr>
        <w:t xml:space="preserve">政府指导 </w:t>
      </w:r>
    </w:p>
    <w:p w14:paraId="360AA435">
      <w:pPr>
        <w:rPr>
          <w:rFonts w:hint="eastAsia" w:ascii="宋体" w:hAnsi="宋体" w:eastAsia="宋体" w:cs="宋体"/>
          <w:sz w:val="24"/>
          <w:szCs w:val="24"/>
        </w:rPr>
      </w:pPr>
      <w:r>
        <w:rPr>
          <w:rFonts w:hint="eastAsia" w:ascii="宋体" w:hAnsi="宋体" w:eastAsia="宋体" w:cs="宋体"/>
          <w:sz w:val="24"/>
          <w:szCs w:val="24"/>
        </w:rPr>
        <w:t xml:space="preserve">广东省应急管理厅作为指导单位。 </w:t>
      </w:r>
    </w:p>
    <w:p w14:paraId="24D7D0E6">
      <w:pPr>
        <w:rPr>
          <w:rFonts w:hint="eastAsia" w:ascii="黑体" w:hAnsi="黑体" w:eastAsia="黑体" w:cs="黑体"/>
          <w:b/>
          <w:bCs/>
          <w:sz w:val="24"/>
          <w:szCs w:val="24"/>
        </w:rPr>
      </w:pPr>
      <w:r>
        <w:rPr>
          <w:rFonts w:hint="eastAsia" w:ascii="黑体" w:hAnsi="黑体" w:eastAsia="黑体" w:cs="黑体"/>
          <w:b/>
          <w:bCs/>
          <w:sz w:val="24"/>
          <w:szCs w:val="24"/>
        </w:rPr>
        <w:t xml:space="preserve">纳入《广东省应急管理“十四五”规划》 </w:t>
      </w:r>
    </w:p>
    <w:p w14:paraId="3DD03FD4">
      <w:pPr>
        <w:rPr>
          <w:rFonts w:hint="eastAsia" w:ascii="宋体" w:hAnsi="宋体" w:eastAsia="宋体" w:cs="宋体"/>
          <w:sz w:val="24"/>
          <w:szCs w:val="24"/>
        </w:rPr>
      </w:pPr>
      <w:r>
        <w:rPr>
          <w:rFonts w:hint="eastAsia" w:ascii="宋体" w:hAnsi="宋体" w:eastAsia="宋体" w:cs="宋体"/>
          <w:sz w:val="24"/>
          <w:szCs w:val="24"/>
        </w:rPr>
        <w:t xml:space="preserve">作为政府支持举办的“具有影响力的应急科技装备展”纳入《广东省应急管理“十四五”规划》。 </w:t>
      </w:r>
    </w:p>
    <w:p w14:paraId="1F5AA2B5">
      <w:pPr>
        <w:rPr>
          <w:rFonts w:hint="eastAsia" w:ascii="黑体" w:hAnsi="黑体" w:eastAsia="黑体" w:cs="黑体"/>
          <w:b/>
          <w:bCs/>
          <w:sz w:val="24"/>
          <w:szCs w:val="24"/>
        </w:rPr>
      </w:pPr>
      <w:r>
        <w:rPr>
          <w:rFonts w:hint="eastAsia" w:ascii="黑体" w:hAnsi="黑体" w:eastAsia="黑体" w:cs="黑体"/>
          <w:b/>
          <w:bCs/>
          <w:sz w:val="24"/>
          <w:szCs w:val="24"/>
        </w:rPr>
        <w:t xml:space="preserve">入选粤贸全国活动目录 </w:t>
      </w:r>
    </w:p>
    <w:p w14:paraId="68E1552D">
      <w:pPr>
        <w:rPr>
          <w:rFonts w:hint="eastAsia" w:ascii="宋体" w:hAnsi="宋体" w:eastAsia="宋体" w:cs="宋体"/>
          <w:sz w:val="24"/>
          <w:szCs w:val="24"/>
        </w:rPr>
      </w:pPr>
      <w:r>
        <w:rPr>
          <w:rFonts w:hint="eastAsia" w:ascii="宋体" w:hAnsi="宋体" w:eastAsia="宋体" w:cs="宋体"/>
          <w:sz w:val="24"/>
          <w:szCs w:val="24"/>
        </w:rPr>
        <w:t xml:space="preserve">2022年、2023年、2024、2025年连续四年入选"粤贸全国活动目录”，是广东省商务厅鼓励企业积极参与的应急安全展会。 </w:t>
      </w:r>
    </w:p>
    <w:p w14:paraId="23EC84B4">
      <w:pPr>
        <w:rPr>
          <w:rFonts w:hint="eastAsia" w:ascii="宋体" w:hAnsi="宋体" w:eastAsia="宋体" w:cs="宋体"/>
          <w:sz w:val="24"/>
          <w:szCs w:val="24"/>
        </w:rPr>
      </w:pPr>
      <w:r>
        <w:rPr>
          <w:rFonts w:hint="eastAsia" w:ascii="黑体" w:hAnsi="黑体" w:eastAsia="黑体" w:cs="黑体"/>
          <w:b/>
          <w:bCs/>
          <w:sz w:val="24"/>
          <w:szCs w:val="24"/>
        </w:rPr>
        <w:t>作为2024、2025广东省、广州市安全宣传咨询日活动协办单位，活动在展会现场举办。</w:t>
      </w:r>
      <w:r>
        <w:rPr>
          <w:rFonts w:hint="eastAsia" w:ascii="宋体" w:hAnsi="宋体" w:eastAsia="宋体" w:cs="宋体"/>
          <w:sz w:val="24"/>
          <w:szCs w:val="24"/>
        </w:rPr>
        <w:t xml:space="preserve"> </w:t>
      </w:r>
    </w:p>
    <w:p w14:paraId="5BC59A99">
      <w:pP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drawing>
          <wp:inline distT="0" distB="0" distL="114300" distR="114300">
            <wp:extent cx="5638800" cy="3474085"/>
            <wp:effectExtent l="0" t="0" r="0" b="12065"/>
            <wp:docPr id="27" name="图片 27" descr="DSC06217-opq373476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SC06217-opq3734767105"/>
                    <pic:cNvPicPr>
                      <a:picLocks noChangeAspect="1"/>
                    </pic:cNvPicPr>
                  </pic:nvPicPr>
                  <pic:blipFill>
                    <a:blip r:embed="rId7"/>
                    <a:stretch>
                      <a:fillRect/>
                    </a:stretch>
                  </pic:blipFill>
                  <pic:spPr>
                    <a:xfrm>
                      <a:off x="0" y="0"/>
                      <a:ext cx="5638800" cy="3474085"/>
                    </a:xfrm>
                    <a:prstGeom prst="rect">
                      <a:avLst/>
                    </a:prstGeom>
                  </pic:spPr>
                </pic:pic>
              </a:graphicData>
            </a:graphic>
          </wp:inline>
        </w:drawing>
      </w:r>
    </w:p>
    <w:p w14:paraId="2A064851">
      <w:pP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drawing>
          <wp:inline distT="0" distB="0" distL="114300" distR="114300">
            <wp:extent cx="5657850" cy="3771900"/>
            <wp:effectExtent l="0" t="0" r="0" b="0"/>
            <wp:docPr id="32" name="图片 32" descr="IMG_2722-opq373340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722-opq3733404068"/>
                    <pic:cNvPicPr>
                      <a:picLocks noChangeAspect="1"/>
                    </pic:cNvPicPr>
                  </pic:nvPicPr>
                  <pic:blipFill>
                    <a:blip r:embed="rId8"/>
                    <a:stretch>
                      <a:fillRect/>
                    </a:stretch>
                  </pic:blipFill>
                  <pic:spPr>
                    <a:xfrm>
                      <a:off x="0" y="0"/>
                      <a:ext cx="5657850" cy="3771900"/>
                    </a:xfrm>
                    <a:prstGeom prst="rect">
                      <a:avLst/>
                    </a:prstGeom>
                  </pic:spPr>
                </pic:pic>
              </a:graphicData>
            </a:graphic>
          </wp:inline>
        </w:drawing>
      </w:r>
    </w:p>
    <w:p w14:paraId="266773F0">
      <w:pP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drawing>
          <wp:inline distT="0" distB="0" distL="114300" distR="114300">
            <wp:extent cx="5638800" cy="3758565"/>
            <wp:effectExtent l="0" t="0" r="0" b="13335"/>
            <wp:docPr id="20" name="图片 20" descr="DSC00342-opq373288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SC00342-opq3732884328"/>
                    <pic:cNvPicPr>
                      <a:picLocks noChangeAspect="1"/>
                    </pic:cNvPicPr>
                  </pic:nvPicPr>
                  <pic:blipFill>
                    <a:blip r:embed="rId9"/>
                    <a:stretch>
                      <a:fillRect/>
                    </a:stretch>
                  </pic:blipFill>
                  <pic:spPr>
                    <a:xfrm>
                      <a:off x="0" y="0"/>
                      <a:ext cx="5638800" cy="3758565"/>
                    </a:xfrm>
                    <a:prstGeom prst="rect">
                      <a:avLst/>
                    </a:prstGeom>
                  </pic:spPr>
                </pic:pic>
              </a:graphicData>
            </a:graphic>
          </wp:inline>
        </w:drawing>
      </w:r>
    </w:p>
    <w:p w14:paraId="4EAB152E">
      <w:pP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drawing>
          <wp:inline distT="0" distB="0" distL="114300" distR="114300">
            <wp:extent cx="5638800" cy="3758565"/>
            <wp:effectExtent l="0" t="0" r="0" b="13335"/>
            <wp:docPr id="21" name="图片 21" descr="DSC00385-opq373294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SC00385-opq3732947296"/>
                    <pic:cNvPicPr>
                      <a:picLocks noChangeAspect="1"/>
                    </pic:cNvPicPr>
                  </pic:nvPicPr>
                  <pic:blipFill>
                    <a:blip r:embed="rId10"/>
                    <a:stretch>
                      <a:fillRect/>
                    </a:stretch>
                  </pic:blipFill>
                  <pic:spPr>
                    <a:xfrm>
                      <a:off x="0" y="0"/>
                      <a:ext cx="5638800" cy="3758565"/>
                    </a:xfrm>
                    <a:prstGeom prst="rect">
                      <a:avLst/>
                    </a:prstGeom>
                  </pic:spPr>
                </pic:pic>
              </a:graphicData>
            </a:graphic>
          </wp:inline>
        </w:drawing>
      </w:r>
    </w:p>
    <w:p w14:paraId="1888AE3A">
      <w:pP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drawing>
          <wp:inline distT="0" distB="0" distL="114300" distR="114300">
            <wp:extent cx="5609590" cy="2814320"/>
            <wp:effectExtent l="0" t="0" r="10160" b="508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1"/>
                    <a:stretch>
                      <a:fillRect/>
                    </a:stretch>
                  </pic:blipFill>
                  <pic:spPr>
                    <a:xfrm>
                      <a:off x="0" y="0"/>
                      <a:ext cx="5609590" cy="2814320"/>
                    </a:xfrm>
                    <a:prstGeom prst="rect">
                      <a:avLst/>
                    </a:prstGeom>
                  </pic:spPr>
                </pic:pic>
              </a:graphicData>
            </a:graphic>
          </wp:inline>
        </w:drawing>
      </w:r>
    </w:p>
    <w:p w14:paraId="46638AE4">
      <w:pPr>
        <w:rPr>
          <w:rFonts w:hint="eastAsia" w:ascii="黑体" w:hAnsi="黑体" w:eastAsia="黑体" w:cs="黑体"/>
          <w:b/>
          <w:bCs/>
          <w:sz w:val="24"/>
          <w:szCs w:val="24"/>
          <w:lang w:eastAsia="zh-CN"/>
        </w:rPr>
      </w:pPr>
    </w:p>
    <w:p w14:paraId="712994FC">
      <w:pP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drawing>
          <wp:inline distT="0" distB="0" distL="114300" distR="114300">
            <wp:extent cx="5645150" cy="1791970"/>
            <wp:effectExtent l="0" t="0" r="12700" b="1778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2"/>
                    <a:stretch>
                      <a:fillRect/>
                    </a:stretch>
                  </pic:blipFill>
                  <pic:spPr>
                    <a:xfrm>
                      <a:off x="0" y="0"/>
                      <a:ext cx="5645150" cy="1791970"/>
                    </a:xfrm>
                    <a:prstGeom prst="rect">
                      <a:avLst/>
                    </a:prstGeom>
                  </pic:spPr>
                </pic:pic>
              </a:graphicData>
            </a:graphic>
          </wp:inline>
        </w:drawing>
      </w:r>
    </w:p>
    <w:p w14:paraId="130EACA3">
      <w:pPr>
        <w:rPr>
          <w:rFonts w:hint="eastAsia" w:ascii="黑体" w:hAnsi="黑体" w:eastAsia="黑体" w:cs="黑体"/>
          <w:b/>
          <w:bCs/>
          <w:sz w:val="24"/>
          <w:szCs w:val="24"/>
        </w:rPr>
      </w:pPr>
      <w:r>
        <w:rPr>
          <w:rFonts w:hint="eastAsia" w:ascii="黑体" w:hAnsi="黑体" w:eastAsia="黑体" w:cs="黑体"/>
          <w:b/>
          <w:bCs/>
          <w:sz w:val="24"/>
          <w:szCs w:val="24"/>
          <w:lang w:eastAsia="zh-CN"/>
        </w:rPr>
        <w:t>二、</w:t>
      </w:r>
      <w:r>
        <w:rPr>
          <w:rFonts w:hint="eastAsia" w:ascii="黑体" w:hAnsi="黑体" w:eastAsia="黑体" w:cs="黑体"/>
          <w:b/>
          <w:bCs/>
          <w:sz w:val="24"/>
          <w:szCs w:val="24"/>
        </w:rPr>
        <w:t>展览范围</w:t>
      </w:r>
    </w:p>
    <w:p w14:paraId="09F2A001">
      <w:pPr>
        <w:rPr>
          <w:rFonts w:hint="eastAsia" w:ascii="黑体" w:hAnsi="黑体" w:eastAsia="黑体" w:cs="黑体"/>
          <w:b/>
          <w:bCs/>
          <w:sz w:val="24"/>
          <w:szCs w:val="24"/>
        </w:rPr>
      </w:pPr>
      <w:r>
        <w:rPr>
          <w:rFonts w:hint="eastAsia" w:ascii="黑体" w:hAnsi="黑体" w:eastAsia="黑体" w:cs="黑体"/>
          <w:b/>
          <w:bCs/>
          <w:sz w:val="24"/>
          <w:szCs w:val="24"/>
        </w:rPr>
        <w:t>应急装备</w:t>
      </w:r>
    </w:p>
    <w:p w14:paraId="3FB32B6A">
      <w:pPr>
        <w:rPr>
          <w:rFonts w:hint="eastAsia" w:ascii="宋体" w:hAnsi="宋体" w:eastAsia="宋体" w:cs="宋体"/>
          <w:sz w:val="24"/>
          <w:szCs w:val="24"/>
        </w:rPr>
      </w:pPr>
      <w:r>
        <w:rPr>
          <w:rFonts w:hint="eastAsia" w:ascii="宋体" w:hAnsi="宋体" w:eastAsia="宋体" w:cs="宋体"/>
          <w:sz w:val="24"/>
          <w:szCs w:val="24"/>
        </w:rPr>
        <w:t xml:space="preserve">专业拆除设备、建筑抢险设备、高空抢险设备、雪灾抢险设备、矿山救援设备。 </w:t>
      </w:r>
    </w:p>
    <w:p w14:paraId="1209A52B">
      <w:pPr>
        <w:rPr>
          <w:rFonts w:hint="eastAsia" w:ascii="黑体" w:hAnsi="黑体" w:eastAsia="黑体" w:cs="黑体"/>
          <w:b/>
          <w:bCs/>
          <w:sz w:val="24"/>
          <w:szCs w:val="24"/>
        </w:rPr>
      </w:pPr>
      <w:r>
        <w:rPr>
          <w:rFonts w:hint="eastAsia" w:ascii="黑体" w:hAnsi="黑体" w:eastAsia="黑体" w:cs="黑体"/>
          <w:b/>
          <w:bCs/>
          <w:sz w:val="24"/>
          <w:szCs w:val="24"/>
        </w:rPr>
        <w:t>智慧应急</w:t>
      </w:r>
    </w:p>
    <w:p w14:paraId="64A67A5E">
      <w:pPr>
        <w:rPr>
          <w:rFonts w:hint="eastAsia" w:ascii="宋体" w:hAnsi="宋体" w:eastAsia="宋体" w:cs="宋体"/>
          <w:sz w:val="24"/>
          <w:szCs w:val="24"/>
        </w:rPr>
      </w:pPr>
      <w:r>
        <w:rPr>
          <w:rFonts w:hint="eastAsia" w:ascii="宋体" w:hAnsi="宋体" w:eastAsia="宋体" w:cs="宋体"/>
          <w:sz w:val="24"/>
          <w:szCs w:val="24"/>
        </w:rPr>
        <w:t xml:space="preserve">应急安全新基建科技创新成果、应急安全信息化管理平台、应急通信、指挥、调度技术与设备、人工智能和辅助决策系统、智慧社区技术和解决方案、智慧城市建设成果、智慧城市示范应用、未来生活与互动体验。 </w:t>
      </w:r>
    </w:p>
    <w:p w14:paraId="24A7C9A6">
      <w:pPr>
        <w:rPr>
          <w:rFonts w:hint="eastAsia" w:ascii="黑体" w:hAnsi="黑体" w:eastAsia="黑体" w:cs="黑体"/>
          <w:b/>
          <w:bCs/>
          <w:sz w:val="24"/>
          <w:szCs w:val="24"/>
        </w:rPr>
      </w:pPr>
      <w:r>
        <w:rPr>
          <w:rFonts w:hint="eastAsia" w:ascii="黑体" w:hAnsi="黑体" w:eastAsia="黑体" w:cs="黑体"/>
          <w:b/>
          <w:bCs/>
          <w:sz w:val="24"/>
          <w:szCs w:val="24"/>
        </w:rPr>
        <w:t>低空经济与应急救援</w:t>
      </w:r>
    </w:p>
    <w:p w14:paraId="4AD41533">
      <w:pPr>
        <w:rPr>
          <w:rFonts w:hint="eastAsia" w:ascii="宋体" w:hAnsi="宋体" w:eastAsia="宋体" w:cs="宋体"/>
          <w:sz w:val="24"/>
          <w:szCs w:val="24"/>
        </w:rPr>
      </w:pPr>
      <w:r>
        <w:rPr>
          <w:rFonts w:hint="eastAsia" w:ascii="宋体" w:hAnsi="宋体" w:eastAsia="宋体" w:cs="宋体"/>
          <w:sz w:val="24"/>
          <w:szCs w:val="24"/>
        </w:rPr>
        <w:t xml:space="preserve">航空救援、消防灭火、勘测巡检、控制导航、任务荷载、保障服务、应用培训、机器人、无人机、无人系统。 </w:t>
      </w:r>
    </w:p>
    <w:p w14:paraId="0A2D2EEE">
      <w:pPr>
        <w:rPr>
          <w:rFonts w:hint="eastAsia" w:ascii="黑体" w:hAnsi="黑体" w:eastAsia="黑体" w:cs="黑体"/>
          <w:b/>
          <w:bCs/>
          <w:sz w:val="24"/>
          <w:szCs w:val="24"/>
        </w:rPr>
      </w:pPr>
      <w:r>
        <w:rPr>
          <w:rFonts w:hint="eastAsia" w:ascii="黑体" w:hAnsi="黑体" w:eastAsia="黑体" w:cs="黑体"/>
          <w:b/>
          <w:bCs/>
          <w:sz w:val="24"/>
          <w:szCs w:val="24"/>
        </w:rPr>
        <w:t>燃气安全</w:t>
      </w:r>
    </w:p>
    <w:p w14:paraId="304C71BB">
      <w:pPr>
        <w:rPr>
          <w:rFonts w:hint="eastAsia" w:ascii="宋体" w:hAnsi="宋体" w:eastAsia="宋体" w:cs="宋体"/>
          <w:sz w:val="24"/>
          <w:szCs w:val="24"/>
        </w:rPr>
      </w:pPr>
      <w:r>
        <w:rPr>
          <w:rFonts w:hint="eastAsia" w:ascii="宋体" w:hAnsi="宋体" w:eastAsia="宋体" w:cs="宋体"/>
          <w:sz w:val="24"/>
          <w:szCs w:val="24"/>
        </w:rPr>
        <w:t xml:space="preserve">燃气泄露保护装置、燃气泄露报警器、紧急切断阀、燃气自闭阀、减压阀、气体检测仪、燃气熄火保护装置、燃气终端安全智能解决方案、燃气安全数字化预警平台、燃气安全智能管家、燃气救援设备、防腐检测仪、地下管线探测仪器、管道内外壁防腐材料技术和堵漏技术等。 </w:t>
      </w:r>
    </w:p>
    <w:p w14:paraId="7FF02F09">
      <w:pPr>
        <w:rPr>
          <w:rFonts w:hint="eastAsia" w:ascii="黑体" w:hAnsi="黑体" w:eastAsia="黑体" w:cs="黑体"/>
          <w:b/>
          <w:bCs/>
          <w:sz w:val="24"/>
          <w:szCs w:val="24"/>
        </w:rPr>
      </w:pPr>
      <w:r>
        <w:rPr>
          <w:rFonts w:hint="eastAsia" w:ascii="黑体" w:hAnsi="黑体" w:eastAsia="黑体" w:cs="黑体"/>
          <w:b/>
          <w:bCs/>
          <w:sz w:val="24"/>
          <w:szCs w:val="24"/>
        </w:rPr>
        <w:t>消防安全</w:t>
      </w:r>
    </w:p>
    <w:p w14:paraId="46B7B3C9">
      <w:pPr>
        <w:rPr>
          <w:rFonts w:hint="eastAsia" w:ascii="宋体" w:hAnsi="宋体" w:eastAsia="宋体" w:cs="宋体"/>
          <w:sz w:val="24"/>
          <w:szCs w:val="24"/>
        </w:rPr>
      </w:pPr>
      <w:r>
        <w:rPr>
          <w:rFonts w:hint="eastAsia" w:ascii="宋体" w:hAnsi="宋体" w:eastAsia="宋体" w:cs="宋体"/>
          <w:sz w:val="24"/>
          <w:szCs w:val="24"/>
        </w:rPr>
        <w:t xml:space="preserve">消防车辆及相关产品、个人防护装备及抢险救援器材、火灾报警及监控产品、灭火设备产品、防火阻燃材料及相关配套产品、社会消防服务机构及组织。 </w:t>
      </w:r>
    </w:p>
    <w:p w14:paraId="398297C2">
      <w:pPr>
        <w:rPr>
          <w:rFonts w:hint="eastAsia" w:ascii="黑体" w:hAnsi="黑体" w:eastAsia="黑体" w:cs="黑体"/>
          <w:b/>
          <w:bCs/>
          <w:sz w:val="24"/>
          <w:szCs w:val="24"/>
        </w:rPr>
      </w:pPr>
      <w:r>
        <w:rPr>
          <w:rFonts w:hint="eastAsia" w:ascii="黑体" w:hAnsi="黑体" w:eastAsia="黑体" w:cs="黑体"/>
          <w:b/>
          <w:bCs/>
          <w:sz w:val="24"/>
          <w:szCs w:val="24"/>
        </w:rPr>
        <w:t>安全防护</w:t>
      </w:r>
    </w:p>
    <w:p w14:paraId="7904CD2F">
      <w:pPr>
        <w:rPr>
          <w:rFonts w:hint="eastAsia" w:ascii="宋体" w:hAnsi="宋体" w:eastAsia="宋体" w:cs="宋体"/>
          <w:sz w:val="24"/>
          <w:szCs w:val="24"/>
        </w:rPr>
      </w:pPr>
      <w:r>
        <w:rPr>
          <w:rFonts w:hint="eastAsia" w:ascii="宋体" w:hAnsi="宋体" w:eastAsia="宋体" w:cs="宋体"/>
          <w:sz w:val="24"/>
          <w:szCs w:val="24"/>
        </w:rPr>
        <w:t>应急救护产品、安全生产环境防护产品、个体劳动防护用品、职业服装及材料、安全生产监测仪表、安全生产设备、咨询、培训、认证机构等。</w:t>
      </w:r>
    </w:p>
    <w:p w14:paraId="2B86BFE6">
      <w:pPr>
        <w:rPr>
          <w:rFonts w:hint="eastAsia" w:ascii="黑体" w:hAnsi="黑体" w:eastAsia="黑体" w:cs="黑体"/>
          <w:b/>
          <w:bCs/>
          <w:sz w:val="24"/>
          <w:szCs w:val="24"/>
        </w:rPr>
      </w:pPr>
      <w:r>
        <w:rPr>
          <w:rFonts w:hint="eastAsia" w:ascii="黑体" w:hAnsi="黑体" w:eastAsia="黑体" w:cs="黑体"/>
          <w:b/>
          <w:bCs/>
          <w:sz w:val="24"/>
          <w:szCs w:val="24"/>
        </w:rPr>
        <w:t>森林消防</w:t>
      </w:r>
    </w:p>
    <w:p w14:paraId="11B612EC">
      <w:pPr>
        <w:rPr>
          <w:rFonts w:hint="eastAsia" w:ascii="宋体" w:hAnsi="宋体" w:eastAsia="宋体" w:cs="宋体"/>
          <w:sz w:val="24"/>
          <w:szCs w:val="24"/>
        </w:rPr>
      </w:pPr>
      <w:r>
        <w:rPr>
          <w:rFonts w:hint="eastAsia" w:ascii="宋体" w:hAnsi="宋体" w:eastAsia="宋体" w:cs="宋体"/>
          <w:sz w:val="24"/>
          <w:szCs w:val="24"/>
        </w:rPr>
        <w:t xml:space="preserve">风力（水）灭火机、泡沫灭火机、高压细水雾灭火机、消防泵、火场割灌开带机、多功能消防车、运兵车、航空灭火装备、安全防护装备和野炊野营设备等。 </w:t>
      </w:r>
    </w:p>
    <w:p w14:paraId="594D3503">
      <w:pPr>
        <w:rPr>
          <w:rFonts w:hint="eastAsia" w:ascii="黑体" w:hAnsi="黑体" w:eastAsia="黑体" w:cs="黑体"/>
          <w:b/>
          <w:bCs/>
          <w:sz w:val="24"/>
          <w:szCs w:val="24"/>
        </w:rPr>
      </w:pPr>
      <w:r>
        <w:rPr>
          <w:rFonts w:hint="eastAsia" w:ascii="黑体" w:hAnsi="黑体" w:eastAsia="黑体" w:cs="黑体"/>
          <w:b/>
          <w:bCs/>
          <w:sz w:val="24"/>
          <w:szCs w:val="24"/>
        </w:rPr>
        <w:t>水域救援</w:t>
      </w:r>
    </w:p>
    <w:p w14:paraId="52DF6A38">
      <w:pPr>
        <w:rPr>
          <w:rFonts w:hint="eastAsia" w:ascii="宋体" w:hAnsi="宋体" w:eastAsia="宋体" w:cs="宋体"/>
          <w:sz w:val="24"/>
          <w:szCs w:val="24"/>
        </w:rPr>
      </w:pPr>
      <w:r>
        <w:rPr>
          <w:rFonts w:hint="eastAsia" w:ascii="宋体" w:hAnsi="宋体" w:eastAsia="宋体" w:cs="宋体"/>
          <w:sz w:val="24"/>
          <w:szCs w:val="24"/>
        </w:rPr>
        <w:t xml:space="preserve">灾害预警监测系统、防汛抗旱及水上救援、无人机与直升机、工程抢险救援、应急救援专业技能培训。 </w:t>
      </w:r>
    </w:p>
    <w:p w14:paraId="427D4947">
      <w:pPr>
        <w:rPr>
          <w:rFonts w:hint="eastAsia" w:ascii="黑体" w:hAnsi="黑体" w:eastAsia="黑体" w:cs="黑体"/>
          <w:b/>
          <w:bCs/>
          <w:sz w:val="24"/>
          <w:szCs w:val="24"/>
        </w:rPr>
      </w:pPr>
      <w:r>
        <w:rPr>
          <w:rFonts w:hint="eastAsia" w:ascii="黑体" w:hAnsi="黑体" w:eastAsia="黑体" w:cs="黑体"/>
          <w:b/>
          <w:bCs/>
          <w:sz w:val="24"/>
          <w:szCs w:val="24"/>
        </w:rPr>
        <w:t>环境应急</w:t>
      </w:r>
    </w:p>
    <w:p w14:paraId="75AFDE40">
      <w:pPr>
        <w:rPr>
          <w:rFonts w:hint="eastAsia" w:ascii="宋体" w:hAnsi="宋体" w:eastAsia="宋体" w:cs="宋体"/>
          <w:sz w:val="24"/>
          <w:szCs w:val="24"/>
        </w:rPr>
      </w:pPr>
      <w:r>
        <w:rPr>
          <w:rFonts w:hint="eastAsia" w:ascii="宋体" w:hAnsi="宋体" w:eastAsia="宋体" w:cs="宋体"/>
          <w:sz w:val="24"/>
          <w:szCs w:val="24"/>
        </w:rPr>
        <w:t>环境保护系统的应急抢救个人防护设备、装备、污染控制和消除、核安全预警监测系统、核与生化防护产品、生态环境监测系统、生态环境保护等产品。</w:t>
      </w:r>
    </w:p>
    <w:p w14:paraId="6D15AEDF">
      <w:pPr>
        <w:rPr>
          <w:rFonts w:hint="eastAsia" w:ascii="黑体" w:hAnsi="黑体" w:eastAsia="黑体" w:cs="黑体"/>
          <w:b/>
          <w:bCs/>
          <w:sz w:val="24"/>
          <w:szCs w:val="24"/>
        </w:rPr>
      </w:pPr>
      <w:r>
        <w:rPr>
          <w:rFonts w:hint="eastAsia" w:ascii="黑体" w:hAnsi="黑体" w:eastAsia="黑体" w:cs="黑体"/>
          <w:b/>
          <w:bCs/>
          <w:sz w:val="24"/>
          <w:szCs w:val="24"/>
        </w:rPr>
        <w:t>工业防爆</w:t>
      </w:r>
    </w:p>
    <w:p w14:paraId="31FDA3C2">
      <w:pPr>
        <w:rPr>
          <w:rFonts w:hint="eastAsia" w:ascii="宋体" w:hAnsi="宋体" w:eastAsia="宋体" w:cs="宋体"/>
          <w:sz w:val="24"/>
          <w:szCs w:val="24"/>
        </w:rPr>
      </w:pPr>
      <w:r>
        <w:rPr>
          <w:rFonts w:hint="eastAsia" w:ascii="宋体" w:hAnsi="宋体" w:eastAsia="宋体" w:cs="宋体"/>
          <w:sz w:val="24"/>
          <w:szCs w:val="24"/>
        </w:rPr>
        <w:t xml:space="preserve">通风除尘烟气治理、防爆特种设备、防爆电气、气体检测防爆、阻火系统、安全防护用品等。 </w:t>
      </w:r>
    </w:p>
    <w:p w14:paraId="12F80AA1">
      <w:pPr>
        <w:rPr>
          <w:rFonts w:hint="eastAsia" w:ascii="黑体" w:hAnsi="黑体" w:eastAsia="黑体" w:cs="黑体"/>
          <w:b/>
          <w:bCs/>
          <w:sz w:val="24"/>
          <w:szCs w:val="24"/>
        </w:rPr>
      </w:pPr>
      <w:r>
        <w:rPr>
          <w:rFonts w:hint="eastAsia" w:ascii="黑体" w:hAnsi="黑体" w:eastAsia="黑体" w:cs="黑体"/>
          <w:b/>
          <w:bCs/>
          <w:sz w:val="24"/>
          <w:szCs w:val="24"/>
        </w:rPr>
        <w:t>储能安全</w:t>
      </w:r>
    </w:p>
    <w:p w14:paraId="0DE53813">
      <w:pPr>
        <w:rPr>
          <w:rFonts w:hint="eastAsia" w:ascii="宋体" w:hAnsi="宋体" w:eastAsia="宋体" w:cs="宋体"/>
          <w:sz w:val="24"/>
          <w:szCs w:val="24"/>
        </w:rPr>
      </w:pPr>
      <w:r>
        <w:rPr>
          <w:rFonts w:hint="eastAsia" w:ascii="宋体" w:hAnsi="宋体" w:eastAsia="宋体" w:cs="宋体"/>
          <w:sz w:val="24"/>
          <w:szCs w:val="24"/>
        </w:rPr>
        <w:t>储能技术及材料、储能设备及组件、储能系统及EPC工程、可再生能源发电并网输配电系统及设备、节能及综合能源服务设备、智慧能源建设及配套设备、软件开发及信息通信、电池资源回收及利用、电池测试及认证。</w:t>
      </w:r>
    </w:p>
    <w:p w14:paraId="0D84C239">
      <w:pPr>
        <w:rPr>
          <w:rFonts w:hint="eastAsia" w:ascii="黑体" w:hAnsi="黑体" w:eastAsia="黑体" w:cs="黑体"/>
          <w:b/>
          <w:bCs/>
          <w:sz w:val="24"/>
          <w:szCs w:val="24"/>
        </w:rPr>
      </w:pPr>
      <w:r>
        <w:rPr>
          <w:rFonts w:hint="eastAsia" w:ascii="黑体" w:hAnsi="黑体" w:eastAsia="黑体" w:cs="黑体"/>
          <w:b/>
          <w:bCs/>
          <w:sz w:val="24"/>
          <w:szCs w:val="24"/>
        </w:rPr>
        <w:t>综合管廊</w:t>
      </w:r>
    </w:p>
    <w:p w14:paraId="0334EC1B">
      <w:pPr>
        <w:rPr>
          <w:rFonts w:hint="eastAsia" w:ascii="宋体" w:hAnsi="宋体" w:eastAsia="宋体" w:cs="宋体"/>
          <w:sz w:val="24"/>
          <w:szCs w:val="24"/>
        </w:rPr>
      </w:pPr>
      <w:r>
        <w:rPr>
          <w:rFonts w:hint="eastAsia" w:ascii="宋体" w:hAnsi="宋体" w:eastAsia="宋体" w:cs="宋体"/>
          <w:sz w:val="24"/>
          <w:szCs w:val="24"/>
        </w:rPr>
        <w:t>地下综合管廊：各种材质的管道（给排水、燃力、电力、通信热力等管道），地下管廊预制构件、预埋件、槽道、支吊架、地下管线、管廊工程综合规划设计及施工、地下管线施工机械、地下管线信息管理系统软件等。</w:t>
      </w:r>
    </w:p>
    <w:p w14:paraId="28475F08">
      <w:pPr>
        <w:rPr>
          <w:rFonts w:hint="eastAsia" w:ascii="黑体" w:hAnsi="黑体" w:eastAsia="黑体" w:cs="黑体"/>
          <w:b/>
          <w:bCs/>
          <w:sz w:val="24"/>
          <w:szCs w:val="24"/>
        </w:rPr>
      </w:pPr>
      <w:r>
        <w:rPr>
          <w:rFonts w:hint="eastAsia" w:ascii="黑体" w:hAnsi="黑体" w:eastAsia="黑体" w:cs="黑体"/>
          <w:b/>
          <w:bCs/>
          <w:sz w:val="24"/>
          <w:szCs w:val="24"/>
        </w:rPr>
        <w:t>交通应急</w:t>
      </w:r>
    </w:p>
    <w:p w14:paraId="2AACD908">
      <w:pPr>
        <w:rPr>
          <w:rFonts w:hint="eastAsia" w:ascii="宋体" w:hAnsi="宋体" w:eastAsia="宋体" w:cs="宋体"/>
          <w:sz w:val="24"/>
          <w:szCs w:val="24"/>
        </w:rPr>
      </w:pPr>
      <w:r>
        <w:rPr>
          <w:rFonts w:hint="eastAsia" w:ascii="宋体" w:hAnsi="宋体" w:eastAsia="宋体" w:cs="宋体"/>
          <w:sz w:val="24"/>
          <w:szCs w:val="24"/>
        </w:rPr>
        <w:t>公交救援车、高速救援车、隧道救援车、随车起重运输车、通用巡修车、应急维修车、遥感设备、测试与质量检测设备及应用技术、测速仪、警示标牌、反光膜、防撞诱导设施、防眩设施、安全路障、升降路桩、拒马护栏、安全围栏、铁马护栏、减速带、智慧路锥、隔离墩、警示柱、三角警示架等。</w:t>
      </w:r>
    </w:p>
    <w:p w14:paraId="5E91090F">
      <w:pPr>
        <w:rPr>
          <w:rFonts w:hint="eastAsia" w:ascii="黑体" w:hAnsi="黑体" w:eastAsia="黑体" w:cs="黑体"/>
          <w:b/>
          <w:bCs/>
          <w:sz w:val="24"/>
          <w:szCs w:val="24"/>
        </w:rPr>
      </w:pPr>
      <w:r>
        <w:rPr>
          <w:rFonts w:hint="eastAsia" w:ascii="黑体" w:hAnsi="黑体" w:eastAsia="黑体" w:cs="黑体"/>
          <w:b/>
          <w:bCs/>
          <w:sz w:val="24"/>
          <w:szCs w:val="24"/>
        </w:rPr>
        <w:t>水利应急</w:t>
      </w:r>
    </w:p>
    <w:p w14:paraId="667CA750">
      <w:pPr>
        <w:rPr>
          <w:rFonts w:hint="eastAsia" w:ascii="宋体" w:hAnsi="宋体" w:eastAsia="宋体" w:cs="宋体"/>
          <w:sz w:val="24"/>
          <w:szCs w:val="24"/>
        </w:rPr>
      </w:pPr>
      <w:r>
        <w:rPr>
          <w:rFonts w:hint="eastAsia" w:ascii="宋体" w:hAnsi="宋体" w:eastAsia="宋体" w:cs="宋体"/>
          <w:sz w:val="24"/>
          <w:szCs w:val="24"/>
        </w:rPr>
        <w:t>水库信息管理系统、山洪灾害监视预警系统、雨洪资源利用解决方案、水库大坝安全监测系统、排水综合管理系统、河长制管理信息系统、防汛抢险救生设备、水利水电新技术新材料、防汛救灾重建技术与设备、水利勘查测绘、水利施工机械、排水设备、沟渠机械、防洪泵、便携式汽油泵、自吸排污抽水泵车。</w:t>
      </w:r>
    </w:p>
    <w:p w14:paraId="6ECDB036">
      <w:pPr>
        <w:rPr>
          <w:rFonts w:hint="eastAsia" w:ascii="黑体" w:hAnsi="黑体" w:eastAsia="黑体" w:cs="黑体"/>
          <w:b/>
          <w:bCs/>
          <w:color w:val="000000" w:themeColor="text1"/>
          <w:sz w:val="24"/>
          <w:szCs w:val="24"/>
          <w14:textFill>
            <w14:solidFill>
              <w14:schemeClr w14:val="tx1"/>
            </w14:solidFill>
          </w14:textFill>
        </w:rPr>
      </w:pPr>
      <w:r>
        <w:rPr>
          <w:rFonts w:hint="eastAsia" w:ascii="黑体" w:hAnsi="黑体" w:eastAsia="黑体" w:cs="黑体"/>
          <w:b/>
          <w:bCs/>
          <w:color w:val="000000" w:themeColor="text1"/>
          <w:sz w:val="24"/>
          <w:szCs w:val="24"/>
          <w14:textFill>
            <w14:solidFill>
              <w14:schemeClr w14:val="tx1"/>
            </w14:solidFill>
          </w14:textFill>
        </w:rPr>
        <w:t xml:space="preserve">氢能安全 </w:t>
      </w:r>
    </w:p>
    <w:p w14:paraId="5C2BB2C4">
      <w:pPr>
        <w:rPr>
          <w:rFonts w:hint="eastAsia" w:ascii="宋体" w:hAnsi="宋体" w:eastAsia="宋体" w:cs="宋体"/>
          <w:sz w:val="24"/>
          <w:szCs w:val="24"/>
        </w:rPr>
      </w:pPr>
      <w:r>
        <w:rPr>
          <w:rFonts w:hint="eastAsia" w:ascii="宋体" w:hAnsi="宋体" w:eastAsia="宋体" w:cs="宋体"/>
          <w:sz w:val="24"/>
          <w:szCs w:val="24"/>
        </w:rPr>
        <w:t>制氢现场氢安全管理系统、制氢材料安全、氢密封材料、单电池测试设备、电子负载仪器、氢器传感器、气体分析设备、分析软件、电特性评估装置、材料测验仪器、电池侧射设备固定式气体检测系统、便携式气体检测设备、个人防护装备。</w:t>
      </w:r>
    </w:p>
    <w:p w14:paraId="40339DA8">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82615" cy="3730625"/>
            <wp:effectExtent l="0" t="0" r="13335" b="3175"/>
            <wp:docPr id="8" name="图片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
                    <pic:cNvPicPr>
                      <a:picLocks noChangeAspect="1"/>
                    </pic:cNvPicPr>
                  </pic:nvPicPr>
                  <pic:blipFill>
                    <a:blip r:embed="rId13"/>
                    <a:stretch>
                      <a:fillRect/>
                    </a:stretch>
                  </pic:blipFill>
                  <pic:spPr>
                    <a:xfrm>
                      <a:off x="0" y="0"/>
                      <a:ext cx="5682615" cy="3730625"/>
                    </a:xfrm>
                    <a:prstGeom prst="rect">
                      <a:avLst/>
                    </a:prstGeom>
                  </pic:spPr>
                </pic:pic>
              </a:graphicData>
            </a:graphic>
          </wp:inline>
        </w:drawing>
      </w:r>
    </w:p>
    <w:p w14:paraId="4088ACF8">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48325" cy="3765550"/>
            <wp:effectExtent l="0" t="0" r="9525" b="6350"/>
            <wp:docPr id="42" name="图片 42" descr="YRM_1082-opq373295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YRM_1082-opq3732950780"/>
                    <pic:cNvPicPr>
                      <a:picLocks noChangeAspect="1"/>
                    </pic:cNvPicPr>
                  </pic:nvPicPr>
                  <pic:blipFill>
                    <a:blip r:embed="rId14"/>
                    <a:stretch>
                      <a:fillRect/>
                    </a:stretch>
                  </pic:blipFill>
                  <pic:spPr>
                    <a:xfrm>
                      <a:off x="0" y="0"/>
                      <a:ext cx="5648325" cy="3765550"/>
                    </a:xfrm>
                    <a:prstGeom prst="rect">
                      <a:avLst/>
                    </a:prstGeom>
                  </pic:spPr>
                </pic:pic>
              </a:graphicData>
            </a:graphic>
          </wp:inline>
        </w:drawing>
      </w:r>
    </w:p>
    <w:p w14:paraId="73E915D2">
      <w:pPr>
        <w:rPr>
          <w:rFonts w:hint="eastAsia" w:ascii="宋体" w:hAnsi="宋体" w:eastAsia="宋体" w:cs="宋体"/>
          <w:sz w:val="24"/>
          <w:szCs w:val="24"/>
          <w:lang w:eastAsia="zh-CN"/>
        </w:rPr>
      </w:pPr>
    </w:p>
    <w:p w14:paraId="45FDA247">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38800" cy="3178810"/>
            <wp:effectExtent l="0" t="0" r="0" b="2540"/>
            <wp:docPr id="13" name="图片 13" descr="0H2A6275-opq373555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H2A6275-opq3735554078"/>
                    <pic:cNvPicPr>
                      <a:picLocks noChangeAspect="1"/>
                    </pic:cNvPicPr>
                  </pic:nvPicPr>
                  <pic:blipFill>
                    <a:blip r:embed="rId15"/>
                    <a:stretch>
                      <a:fillRect/>
                    </a:stretch>
                  </pic:blipFill>
                  <pic:spPr>
                    <a:xfrm>
                      <a:off x="0" y="0"/>
                      <a:ext cx="5638800" cy="3178810"/>
                    </a:xfrm>
                    <a:prstGeom prst="rect">
                      <a:avLst/>
                    </a:prstGeom>
                  </pic:spPr>
                </pic:pic>
              </a:graphicData>
            </a:graphic>
          </wp:inline>
        </w:drawing>
      </w:r>
    </w:p>
    <w:p w14:paraId="37EF5E45">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33085" cy="3754120"/>
            <wp:effectExtent l="0" t="0" r="5715" b="17780"/>
            <wp:docPr id="22" name="图片 22" descr="DSC05295-opq37328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SC05295-opq3732810647"/>
                    <pic:cNvPicPr>
                      <a:picLocks noChangeAspect="1"/>
                    </pic:cNvPicPr>
                  </pic:nvPicPr>
                  <pic:blipFill>
                    <a:blip r:embed="rId16"/>
                    <a:stretch>
                      <a:fillRect/>
                    </a:stretch>
                  </pic:blipFill>
                  <pic:spPr>
                    <a:xfrm>
                      <a:off x="0" y="0"/>
                      <a:ext cx="5633085" cy="3754120"/>
                    </a:xfrm>
                    <a:prstGeom prst="rect">
                      <a:avLst/>
                    </a:prstGeom>
                  </pic:spPr>
                </pic:pic>
              </a:graphicData>
            </a:graphic>
          </wp:inline>
        </w:drawing>
      </w:r>
    </w:p>
    <w:p w14:paraId="1D35FD03">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57850" cy="2752090"/>
            <wp:effectExtent l="0" t="0" r="0" b="10160"/>
            <wp:docPr id="26" name="图片 26" descr="DSC05965-opq373447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SC05965-opq3734475718"/>
                    <pic:cNvPicPr>
                      <a:picLocks noChangeAspect="1"/>
                    </pic:cNvPicPr>
                  </pic:nvPicPr>
                  <pic:blipFill>
                    <a:blip r:embed="rId17"/>
                    <a:stretch>
                      <a:fillRect/>
                    </a:stretch>
                  </pic:blipFill>
                  <pic:spPr>
                    <a:xfrm>
                      <a:off x="0" y="0"/>
                      <a:ext cx="5657850" cy="2752090"/>
                    </a:xfrm>
                    <a:prstGeom prst="rect">
                      <a:avLst/>
                    </a:prstGeom>
                  </pic:spPr>
                </pic:pic>
              </a:graphicData>
            </a:graphic>
          </wp:inline>
        </w:drawing>
      </w:r>
    </w:p>
    <w:p w14:paraId="124EB344">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43245" cy="2973070"/>
            <wp:effectExtent l="0" t="0" r="14605" b="17780"/>
            <wp:docPr id="9" name="图片 9" descr="0H2A5779-opq373420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H2A5779-opq3734200764"/>
                    <pic:cNvPicPr>
                      <a:picLocks noChangeAspect="1"/>
                    </pic:cNvPicPr>
                  </pic:nvPicPr>
                  <pic:blipFill>
                    <a:blip r:embed="rId18"/>
                    <a:stretch>
                      <a:fillRect/>
                    </a:stretch>
                  </pic:blipFill>
                  <pic:spPr>
                    <a:xfrm>
                      <a:off x="0" y="0"/>
                      <a:ext cx="5643245" cy="2973070"/>
                    </a:xfrm>
                    <a:prstGeom prst="rect">
                      <a:avLst/>
                    </a:prstGeom>
                  </pic:spPr>
                </pic:pic>
              </a:graphicData>
            </a:graphic>
          </wp:inline>
        </w:drawing>
      </w:r>
    </w:p>
    <w:p w14:paraId="5AB22536">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38800" cy="3187700"/>
            <wp:effectExtent l="0" t="0" r="0" b="12700"/>
            <wp:docPr id="23" name="图片 23" descr="DSC05335-opq373298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05335-opq3732984024"/>
                    <pic:cNvPicPr>
                      <a:picLocks noChangeAspect="1"/>
                    </pic:cNvPicPr>
                  </pic:nvPicPr>
                  <pic:blipFill>
                    <a:blip r:embed="rId19"/>
                    <a:stretch>
                      <a:fillRect/>
                    </a:stretch>
                  </pic:blipFill>
                  <pic:spPr>
                    <a:xfrm>
                      <a:off x="0" y="0"/>
                      <a:ext cx="5638800" cy="3187700"/>
                    </a:xfrm>
                    <a:prstGeom prst="rect">
                      <a:avLst/>
                    </a:prstGeom>
                  </pic:spPr>
                </pic:pic>
              </a:graphicData>
            </a:graphic>
          </wp:inline>
        </w:drawing>
      </w:r>
    </w:p>
    <w:p w14:paraId="39C25EBA">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38800" cy="3074035"/>
            <wp:effectExtent l="0" t="0" r="0" b="12065"/>
            <wp:docPr id="12" name="图片 12" descr="0H2A6078-opq373471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H2A6078-opq3734710106"/>
                    <pic:cNvPicPr>
                      <a:picLocks noChangeAspect="1"/>
                    </pic:cNvPicPr>
                  </pic:nvPicPr>
                  <pic:blipFill>
                    <a:blip r:embed="rId20"/>
                    <a:stretch>
                      <a:fillRect/>
                    </a:stretch>
                  </pic:blipFill>
                  <pic:spPr>
                    <a:xfrm>
                      <a:off x="0" y="0"/>
                      <a:ext cx="5638800" cy="3074035"/>
                    </a:xfrm>
                    <a:prstGeom prst="rect">
                      <a:avLst/>
                    </a:prstGeom>
                  </pic:spPr>
                </pic:pic>
              </a:graphicData>
            </a:graphic>
          </wp:inline>
        </w:drawing>
      </w:r>
    </w:p>
    <w:p w14:paraId="61609C9B">
      <w:pPr>
        <w:rPr>
          <w:rFonts w:hint="eastAsia" w:ascii="黑体" w:hAnsi="黑体" w:eastAsia="黑体" w:cs="黑体"/>
          <w:b/>
          <w:bCs/>
          <w:sz w:val="24"/>
          <w:szCs w:val="24"/>
        </w:rPr>
      </w:pPr>
      <w:r>
        <w:rPr>
          <w:rFonts w:hint="eastAsia" w:ascii="黑体" w:hAnsi="黑体" w:eastAsia="黑体" w:cs="黑体"/>
          <w:b/>
          <w:bCs/>
          <w:sz w:val="24"/>
          <w:szCs w:val="24"/>
        </w:rPr>
        <w:drawing>
          <wp:inline distT="0" distB="0" distL="114300" distR="114300">
            <wp:extent cx="5650865" cy="2826385"/>
            <wp:effectExtent l="0" t="0" r="6985" b="12065"/>
            <wp:docPr id="39" name="图片 39" descr="mmexport1750166290445-opq373517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750166290445-opq3735174486"/>
                    <pic:cNvPicPr>
                      <a:picLocks noChangeAspect="1"/>
                    </pic:cNvPicPr>
                  </pic:nvPicPr>
                  <pic:blipFill>
                    <a:blip r:embed="rId21"/>
                    <a:stretch>
                      <a:fillRect/>
                    </a:stretch>
                  </pic:blipFill>
                  <pic:spPr>
                    <a:xfrm>
                      <a:off x="0" y="0"/>
                      <a:ext cx="5650865" cy="2826385"/>
                    </a:xfrm>
                    <a:prstGeom prst="rect">
                      <a:avLst/>
                    </a:prstGeom>
                  </pic:spPr>
                </pic:pic>
              </a:graphicData>
            </a:graphic>
          </wp:inline>
        </w:drawing>
      </w:r>
    </w:p>
    <w:p w14:paraId="134D27AF">
      <w:pPr>
        <w:rPr>
          <w:rFonts w:hint="eastAsia" w:ascii="黑体" w:hAnsi="黑体" w:eastAsia="黑体" w:cs="黑体"/>
          <w:b/>
          <w:bCs/>
          <w:sz w:val="24"/>
          <w:szCs w:val="24"/>
          <w:lang w:eastAsia="zh-CN"/>
        </w:rPr>
      </w:pPr>
      <w:r>
        <w:rPr>
          <w:rFonts w:hint="eastAsia" w:ascii="宋体" w:hAnsi="宋体" w:eastAsia="宋体" w:cs="宋体"/>
          <w:sz w:val="24"/>
          <w:szCs w:val="24"/>
          <w:lang w:eastAsia="zh-CN"/>
        </w:rPr>
        <w:drawing>
          <wp:inline distT="0" distB="0" distL="114300" distR="114300">
            <wp:extent cx="5638800" cy="3112770"/>
            <wp:effectExtent l="0" t="0" r="0" b="11430"/>
            <wp:docPr id="40" name="图片 40" descr="0H2A6291-opq373556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H2A6291-opq3735569772"/>
                    <pic:cNvPicPr>
                      <a:picLocks noChangeAspect="1"/>
                    </pic:cNvPicPr>
                  </pic:nvPicPr>
                  <pic:blipFill>
                    <a:blip r:embed="rId22"/>
                    <a:stretch>
                      <a:fillRect/>
                    </a:stretch>
                  </pic:blipFill>
                  <pic:spPr>
                    <a:xfrm>
                      <a:off x="0" y="0"/>
                      <a:ext cx="5638800" cy="3112770"/>
                    </a:xfrm>
                    <a:prstGeom prst="rect">
                      <a:avLst/>
                    </a:prstGeom>
                  </pic:spPr>
                </pic:pic>
              </a:graphicData>
            </a:graphic>
          </wp:inline>
        </w:drawing>
      </w:r>
    </w:p>
    <w:p w14:paraId="55B9CD32">
      <w:pPr>
        <w:numPr>
          <w:ilvl w:val="0"/>
          <w:numId w:val="0"/>
        </w:numPr>
        <w:jc w:val="left"/>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三、观众组织</w:t>
      </w:r>
    </w:p>
    <w:p w14:paraId="0800CEB5">
      <w:pPr>
        <w:rPr>
          <w:rFonts w:hint="eastAsia" w:ascii="宋体" w:hAnsi="宋体" w:eastAsia="宋体" w:cs="宋体"/>
          <w:sz w:val="24"/>
          <w:szCs w:val="24"/>
        </w:rPr>
      </w:pPr>
      <w:r>
        <w:rPr>
          <w:rFonts w:hint="eastAsia" w:ascii="宋体" w:hAnsi="宋体" w:eastAsia="宋体" w:cs="宋体"/>
          <w:sz w:val="24"/>
          <w:szCs w:val="24"/>
        </w:rPr>
        <w:t xml:space="preserve">1，各级应急管理、应急指挥、应急救援、消防、地震、气象、卫健、地理、测绘、水文、人防、渔业、打捞、三防、交通、民政、疾控、农业、水利、电力、司法等政府机构装备采购部门； </w:t>
      </w:r>
    </w:p>
    <w:p w14:paraId="77AA1809">
      <w:pPr>
        <w:rPr>
          <w:rFonts w:hint="eastAsia" w:ascii="宋体" w:hAnsi="宋体" w:eastAsia="宋体" w:cs="宋体"/>
          <w:sz w:val="24"/>
          <w:szCs w:val="24"/>
        </w:rPr>
      </w:pPr>
      <w:r>
        <w:rPr>
          <w:rFonts w:hint="eastAsia" w:ascii="宋体" w:hAnsi="宋体" w:eastAsia="宋体" w:cs="宋体"/>
          <w:sz w:val="24"/>
          <w:szCs w:val="24"/>
        </w:rPr>
        <w:t>2，应急安全科研、生产、设计单位和用户，施工单位，工程商、代理经销商，房产物业、机场、石油化工、造船、矿山、电力等专业观众；</w:t>
      </w:r>
    </w:p>
    <w:p w14:paraId="3757CE24">
      <w:pPr>
        <w:rPr>
          <w:rFonts w:hint="eastAsia" w:ascii="宋体" w:hAnsi="宋体" w:eastAsia="宋体" w:cs="宋体"/>
          <w:sz w:val="24"/>
          <w:szCs w:val="24"/>
        </w:rPr>
      </w:pPr>
      <w:r>
        <w:rPr>
          <w:rFonts w:hint="eastAsia" w:ascii="宋体" w:hAnsi="宋体" w:eastAsia="宋体" w:cs="宋体"/>
          <w:sz w:val="24"/>
          <w:szCs w:val="24"/>
        </w:rPr>
        <w:t>3，总参、总后、总装、武警、人防、人武、公安等军警部门相关人员；</w:t>
      </w:r>
    </w:p>
    <w:p w14:paraId="49C161EF">
      <w:pPr>
        <w:rPr>
          <w:rFonts w:hint="eastAsia" w:ascii="宋体" w:hAnsi="宋体" w:eastAsia="宋体" w:cs="宋体"/>
          <w:sz w:val="24"/>
          <w:szCs w:val="24"/>
        </w:rPr>
      </w:pPr>
      <w:r>
        <w:rPr>
          <w:rFonts w:hint="eastAsia" w:ascii="宋体" w:hAnsi="宋体" w:eastAsia="宋体" w:cs="宋体"/>
          <w:sz w:val="24"/>
          <w:szCs w:val="24"/>
        </w:rPr>
        <w:t>4，主办单位联合各国驻外使馆经贸处邀请相关行业采购团到会参观采购；</w:t>
      </w:r>
    </w:p>
    <w:p w14:paraId="43431C1C">
      <w:pPr>
        <w:rPr>
          <w:rFonts w:hint="eastAsia" w:ascii="宋体" w:hAnsi="宋体" w:eastAsia="宋体" w:cs="宋体"/>
          <w:sz w:val="24"/>
          <w:szCs w:val="24"/>
        </w:rPr>
      </w:pPr>
      <w:r>
        <w:rPr>
          <w:rFonts w:hint="eastAsia" w:ascii="宋体" w:hAnsi="宋体" w:eastAsia="宋体" w:cs="宋体"/>
          <w:sz w:val="24"/>
          <w:szCs w:val="24"/>
        </w:rPr>
        <w:t>5，外国驻华使馆商务处、驻华机构合作组织，在德国、印度、俄罗斯、巴基斯坦等18个国家及地区50多个重要专业市场现场招商，3万海外买家数据库资源招商推广；</w:t>
      </w:r>
    </w:p>
    <w:p w14:paraId="09296586">
      <w:pPr>
        <w:rPr>
          <w:rFonts w:hint="eastAsia" w:ascii="宋体" w:hAnsi="宋体" w:eastAsia="宋体" w:cs="宋体"/>
          <w:sz w:val="24"/>
          <w:szCs w:val="24"/>
          <w:lang w:eastAsia="zh-CN"/>
        </w:rPr>
      </w:pPr>
      <w:r>
        <w:rPr>
          <w:rFonts w:hint="eastAsia" w:ascii="宋体" w:hAnsi="宋体" w:eastAsia="宋体" w:cs="宋体"/>
          <w:sz w:val="24"/>
          <w:szCs w:val="24"/>
        </w:rPr>
        <w:t>6，1000多家专业网站、门户网站及电视台、刊物、报纸连续报导推广及刊登广告，组委会免费向目标客户定向邮寄放送10万份大会特刊及参观；100万条EDM、短信定期推广；6万条精选买家数据进行一对一的电话邀约；国内外相关地市公安消防、政府采购部门及行业协会网站发布展会信息。</w:t>
      </w:r>
    </w:p>
    <w:p w14:paraId="4F03CC53">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39435" cy="3759200"/>
            <wp:effectExtent l="0" t="0" r="18415" b="12700"/>
            <wp:docPr id="29" name="图片 29" descr="DSC06840-opq373578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SC06840-opq3735785591"/>
                    <pic:cNvPicPr>
                      <a:picLocks noChangeAspect="1"/>
                    </pic:cNvPicPr>
                  </pic:nvPicPr>
                  <pic:blipFill>
                    <a:blip r:embed="rId23"/>
                    <a:stretch>
                      <a:fillRect/>
                    </a:stretch>
                  </pic:blipFill>
                  <pic:spPr>
                    <a:xfrm>
                      <a:off x="0" y="0"/>
                      <a:ext cx="5639435" cy="3759200"/>
                    </a:xfrm>
                    <a:prstGeom prst="rect">
                      <a:avLst/>
                    </a:prstGeom>
                  </pic:spPr>
                </pic:pic>
              </a:graphicData>
            </a:graphic>
          </wp:inline>
        </w:drawing>
      </w:r>
    </w:p>
    <w:p w14:paraId="31FD7B68">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57215" cy="3124200"/>
            <wp:effectExtent l="0" t="0" r="635" b="0"/>
            <wp:docPr id="30" name="图片 30" descr="DSC06989-opq373580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SC06989-opq3735802508"/>
                    <pic:cNvPicPr>
                      <a:picLocks noChangeAspect="1"/>
                    </pic:cNvPicPr>
                  </pic:nvPicPr>
                  <pic:blipFill>
                    <a:blip r:embed="rId24"/>
                    <a:stretch>
                      <a:fillRect/>
                    </a:stretch>
                  </pic:blipFill>
                  <pic:spPr>
                    <a:xfrm>
                      <a:off x="0" y="0"/>
                      <a:ext cx="5657215" cy="3124200"/>
                    </a:xfrm>
                    <a:prstGeom prst="rect">
                      <a:avLst/>
                    </a:prstGeom>
                  </pic:spPr>
                </pic:pic>
              </a:graphicData>
            </a:graphic>
          </wp:inline>
        </w:drawing>
      </w:r>
    </w:p>
    <w:p w14:paraId="559EE87D">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46420" cy="3099435"/>
            <wp:effectExtent l="0" t="0" r="11430" b="5715"/>
            <wp:docPr id="33" name="图片 33" descr="IMG_3225-opq373479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3225-opq3734793755"/>
                    <pic:cNvPicPr>
                      <a:picLocks noChangeAspect="1"/>
                    </pic:cNvPicPr>
                  </pic:nvPicPr>
                  <pic:blipFill>
                    <a:blip r:embed="rId25"/>
                    <a:stretch>
                      <a:fillRect/>
                    </a:stretch>
                  </pic:blipFill>
                  <pic:spPr>
                    <a:xfrm>
                      <a:off x="0" y="0"/>
                      <a:ext cx="5646420" cy="3099435"/>
                    </a:xfrm>
                    <a:prstGeom prst="rect">
                      <a:avLst/>
                    </a:prstGeom>
                  </pic:spPr>
                </pic:pic>
              </a:graphicData>
            </a:graphic>
          </wp:inline>
        </w:drawing>
      </w:r>
    </w:p>
    <w:p w14:paraId="630E0E96">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38800" cy="2825750"/>
            <wp:effectExtent l="0" t="0" r="0" b="12700"/>
            <wp:docPr id="34" name="图片 34" descr="IMG_4325-opq373413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4325-opq3734136232"/>
                    <pic:cNvPicPr>
                      <a:picLocks noChangeAspect="1"/>
                    </pic:cNvPicPr>
                  </pic:nvPicPr>
                  <pic:blipFill>
                    <a:blip r:embed="rId26"/>
                    <a:stretch>
                      <a:fillRect/>
                    </a:stretch>
                  </pic:blipFill>
                  <pic:spPr>
                    <a:xfrm>
                      <a:off x="0" y="0"/>
                      <a:ext cx="5638800" cy="2825750"/>
                    </a:xfrm>
                    <a:prstGeom prst="rect">
                      <a:avLst/>
                    </a:prstGeom>
                  </pic:spPr>
                </pic:pic>
              </a:graphicData>
            </a:graphic>
          </wp:inline>
        </w:drawing>
      </w:r>
    </w:p>
    <w:p w14:paraId="4F008549">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48325" cy="2490470"/>
            <wp:effectExtent l="0" t="0" r="9525" b="5080"/>
            <wp:docPr id="41" name="图片 41" descr="XYS08298-opq373294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XYS08298-opq3732944453"/>
                    <pic:cNvPicPr>
                      <a:picLocks noChangeAspect="1"/>
                    </pic:cNvPicPr>
                  </pic:nvPicPr>
                  <pic:blipFill>
                    <a:blip r:embed="rId27"/>
                    <a:stretch>
                      <a:fillRect/>
                    </a:stretch>
                  </pic:blipFill>
                  <pic:spPr>
                    <a:xfrm>
                      <a:off x="0" y="0"/>
                      <a:ext cx="5648325" cy="2490470"/>
                    </a:xfrm>
                    <a:prstGeom prst="rect">
                      <a:avLst/>
                    </a:prstGeom>
                  </pic:spPr>
                </pic:pic>
              </a:graphicData>
            </a:graphic>
          </wp:inline>
        </w:drawing>
      </w:r>
    </w:p>
    <w:p w14:paraId="462B5DEF">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38800" cy="2636520"/>
            <wp:effectExtent l="0" t="0" r="0" b="11430"/>
            <wp:docPr id="35" name="图片 35" descr="IMG_6084-opq373584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6084-opq3735849463"/>
                    <pic:cNvPicPr>
                      <a:picLocks noChangeAspect="1"/>
                    </pic:cNvPicPr>
                  </pic:nvPicPr>
                  <pic:blipFill>
                    <a:blip r:embed="rId28"/>
                    <a:stretch>
                      <a:fillRect/>
                    </a:stretch>
                  </pic:blipFill>
                  <pic:spPr>
                    <a:xfrm>
                      <a:off x="0" y="0"/>
                      <a:ext cx="5638800" cy="2636520"/>
                    </a:xfrm>
                    <a:prstGeom prst="rect">
                      <a:avLst/>
                    </a:prstGeom>
                  </pic:spPr>
                </pic:pic>
              </a:graphicData>
            </a:graphic>
          </wp:inline>
        </w:drawing>
      </w:r>
    </w:p>
    <w:p w14:paraId="6175175F">
      <w:pPr>
        <w:rPr>
          <w:rFonts w:hint="eastAsia" w:ascii="黑体" w:hAnsi="黑体" w:eastAsia="黑体" w:cs="黑体"/>
          <w:b/>
          <w:bCs/>
          <w:sz w:val="24"/>
          <w:szCs w:val="24"/>
        </w:rPr>
      </w:pPr>
      <w:r>
        <w:rPr>
          <w:rFonts w:hint="eastAsia" w:ascii="黑体" w:hAnsi="黑体" w:eastAsia="黑体" w:cs="黑体"/>
          <w:b/>
          <w:bCs/>
          <w:sz w:val="24"/>
          <w:szCs w:val="24"/>
          <w:lang w:eastAsia="zh-CN"/>
        </w:rPr>
        <w:t>四、</w:t>
      </w:r>
      <w:r>
        <w:rPr>
          <w:rFonts w:hint="eastAsia" w:ascii="黑体" w:hAnsi="黑体" w:eastAsia="黑体" w:cs="黑体"/>
          <w:b/>
          <w:bCs/>
          <w:sz w:val="24"/>
          <w:szCs w:val="24"/>
        </w:rPr>
        <w:t xml:space="preserve">展会同期活动 </w:t>
      </w:r>
    </w:p>
    <w:p w14:paraId="2423E286">
      <w:pPr>
        <w:rPr>
          <w:rFonts w:hint="eastAsia" w:ascii="黑体" w:hAnsi="黑体" w:eastAsia="黑体" w:cs="黑体"/>
          <w:b/>
          <w:bCs/>
          <w:sz w:val="24"/>
          <w:szCs w:val="24"/>
        </w:rPr>
      </w:pPr>
      <w:r>
        <w:rPr>
          <w:rFonts w:hint="eastAsia" w:ascii="黑体" w:hAnsi="黑体" w:eastAsia="黑体" w:cs="黑体"/>
          <w:b/>
          <w:bCs/>
          <w:sz w:val="24"/>
          <w:szCs w:val="24"/>
        </w:rPr>
        <w:t xml:space="preserve">国际应急产业高质量发展大会 </w:t>
      </w:r>
    </w:p>
    <w:p w14:paraId="5F56B081">
      <w:pPr>
        <w:rPr>
          <w:rFonts w:hint="eastAsia" w:ascii="宋体" w:hAnsi="宋体" w:eastAsia="宋体" w:cs="宋体"/>
          <w:sz w:val="24"/>
          <w:szCs w:val="24"/>
        </w:rPr>
      </w:pPr>
      <w:r>
        <w:rPr>
          <w:rFonts w:hint="eastAsia" w:ascii="宋体" w:hAnsi="宋体" w:eastAsia="宋体" w:cs="宋体"/>
          <w:sz w:val="24"/>
          <w:szCs w:val="24"/>
        </w:rPr>
        <w:t xml:space="preserve">邀请国内外应急安全领域专家、学者、业界精英，共同探讨应急安全产业高质量发展之路。 </w:t>
      </w:r>
    </w:p>
    <w:p w14:paraId="5D5C73F7">
      <w:pPr>
        <w:rPr>
          <w:rFonts w:hint="eastAsia" w:ascii="黑体" w:hAnsi="黑体" w:eastAsia="黑体" w:cs="黑体"/>
          <w:b/>
          <w:bCs/>
          <w:sz w:val="24"/>
          <w:szCs w:val="24"/>
        </w:rPr>
      </w:pPr>
      <w:r>
        <w:rPr>
          <w:rFonts w:hint="eastAsia" w:ascii="黑体" w:hAnsi="黑体" w:eastAsia="黑体" w:cs="黑体"/>
          <w:b/>
          <w:bCs/>
          <w:sz w:val="24"/>
          <w:szCs w:val="24"/>
        </w:rPr>
        <w:t xml:space="preserve">航空应急救援产业发展趋势研讨会 </w:t>
      </w:r>
    </w:p>
    <w:p w14:paraId="39BF0B78">
      <w:pPr>
        <w:rPr>
          <w:rFonts w:hint="eastAsia" w:ascii="宋体" w:hAnsi="宋体" w:eastAsia="宋体" w:cs="宋体"/>
          <w:sz w:val="24"/>
          <w:szCs w:val="24"/>
        </w:rPr>
      </w:pPr>
      <w:r>
        <w:rPr>
          <w:rFonts w:hint="eastAsia" w:ascii="宋体" w:hAnsi="宋体" w:eastAsia="宋体" w:cs="宋体"/>
          <w:sz w:val="24"/>
          <w:szCs w:val="24"/>
        </w:rPr>
        <w:t xml:space="preserve">聚焦航空救援技术、装备创新、协同调度及实战应用等关键议题，邀请行业主管部门、军民航单位、科研机构及企业代表共聚一堂，分享前沿经验，探讨发展趋势。 </w:t>
      </w:r>
    </w:p>
    <w:p w14:paraId="3C66F1CB">
      <w:pPr>
        <w:rPr>
          <w:rFonts w:hint="eastAsia" w:ascii="宋体" w:hAnsi="宋体" w:eastAsia="宋体" w:cs="宋体"/>
          <w:sz w:val="24"/>
          <w:szCs w:val="24"/>
        </w:rPr>
      </w:pPr>
      <w:r>
        <w:rPr>
          <w:rFonts w:hint="eastAsia" w:ascii="黑体" w:hAnsi="黑体" w:eastAsia="黑体" w:cs="黑体"/>
          <w:b/>
          <w:bCs/>
          <w:sz w:val="24"/>
          <w:szCs w:val="24"/>
        </w:rPr>
        <w:t xml:space="preserve">应急管理与应急产业发展政企交流座谈会 </w:t>
      </w:r>
    </w:p>
    <w:p w14:paraId="12336117">
      <w:pPr>
        <w:rPr>
          <w:rFonts w:hint="eastAsia" w:ascii="宋体" w:hAnsi="宋体" w:eastAsia="宋体" w:cs="宋体"/>
          <w:sz w:val="24"/>
          <w:szCs w:val="24"/>
        </w:rPr>
      </w:pPr>
      <w:r>
        <w:rPr>
          <w:rFonts w:hint="eastAsia" w:ascii="宋体" w:hAnsi="宋体" w:eastAsia="宋体" w:cs="宋体"/>
          <w:sz w:val="24"/>
          <w:szCs w:val="24"/>
        </w:rPr>
        <w:t xml:space="preserve">为搭建国内外政府之间、政企之间在应急管理、消防安全领域的交流与合作，邀请国内外应急管理机构及组织的领导代表到场，与参与广州应急展的具有代表性的应急安全企业进行面对面合作洽谈。 </w:t>
      </w:r>
    </w:p>
    <w:p w14:paraId="411F4355">
      <w:pPr>
        <w:rPr>
          <w:rFonts w:hint="eastAsia" w:ascii="黑体" w:hAnsi="黑体" w:eastAsia="黑体" w:cs="黑体"/>
          <w:b/>
          <w:bCs/>
          <w:sz w:val="24"/>
          <w:szCs w:val="24"/>
        </w:rPr>
      </w:pPr>
      <w:r>
        <w:rPr>
          <w:rFonts w:hint="eastAsia" w:ascii="黑体" w:hAnsi="黑体" w:eastAsia="黑体" w:cs="黑体"/>
          <w:b/>
          <w:bCs/>
          <w:sz w:val="24"/>
          <w:szCs w:val="24"/>
        </w:rPr>
        <w:t xml:space="preserve">装备制造业安全防护创新发展大会 </w:t>
      </w:r>
    </w:p>
    <w:p w14:paraId="7631E600">
      <w:pPr>
        <w:rPr>
          <w:rFonts w:hint="eastAsia" w:ascii="宋体" w:hAnsi="宋体" w:eastAsia="宋体" w:cs="宋体"/>
          <w:sz w:val="24"/>
          <w:szCs w:val="24"/>
        </w:rPr>
      </w:pPr>
      <w:r>
        <w:rPr>
          <w:rFonts w:hint="eastAsia" w:ascii="宋体" w:hAnsi="宋体" w:eastAsia="宋体" w:cs="宋体"/>
          <w:sz w:val="24"/>
          <w:szCs w:val="24"/>
        </w:rPr>
        <w:t xml:space="preserve">为搭建“政产学研用”五位一体交流平台，邀请资深行业专家、企业代表，通过政策解读、技术展示、经验共享，推动企业构建“本质安全”管理体系。 </w:t>
      </w:r>
    </w:p>
    <w:p w14:paraId="30756DD3">
      <w:pPr>
        <w:rPr>
          <w:rFonts w:hint="eastAsia" w:ascii="黑体" w:hAnsi="黑体" w:eastAsia="黑体" w:cs="黑体"/>
          <w:b/>
          <w:bCs/>
          <w:sz w:val="24"/>
          <w:szCs w:val="24"/>
        </w:rPr>
      </w:pPr>
      <w:r>
        <w:rPr>
          <w:rFonts w:hint="eastAsia" w:ascii="黑体" w:hAnsi="黑体" w:eastAsia="黑体" w:cs="黑体"/>
          <w:b/>
          <w:bCs/>
          <w:sz w:val="24"/>
          <w:szCs w:val="24"/>
        </w:rPr>
        <w:t xml:space="preserve">安全应急机器人标准化研讨会 </w:t>
      </w:r>
    </w:p>
    <w:p w14:paraId="3A8AE38F">
      <w:pPr>
        <w:rPr>
          <w:rFonts w:hint="eastAsia" w:ascii="宋体" w:hAnsi="宋体" w:eastAsia="宋体" w:cs="宋体"/>
          <w:sz w:val="24"/>
          <w:szCs w:val="24"/>
        </w:rPr>
      </w:pPr>
      <w:r>
        <w:rPr>
          <w:rFonts w:hint="eastAsia" w:ascii="宋体" w:hAnsi="宋体" w:eastAsia="宋体" w:cs="宋体"/>
          <w:sz w:val="24"/>
          <w:szCs w:val="24"/>
        </w:rPr>
        <w:t>邀请行业专家、科研机构、企业代表及标准制定单位，共同探讨应急机器人技术发展、标准体系建设及典型场景应用。</w:t>
      </w:r>
    </w:p>
    <w:p w14:paraId="29E26DB0">
      <w:pPr>
        <w:rPr>
          <w:rFonts w:hint="eastAsia" w:ascii="黑体" w:hAnsi="黑体" w:eastAsia="黑体" w:cs="黑体"/>
          <w:b/>
          <w:bCs/>
          <w:sz w:val="24"/>
          <w:szCs w:val="24"/>
        </w:rPr>
      </w:pPr>
      <w:r>
        <w:rPr>
          <w:rFonts w:hint="eastAsia" w:ascii="黑体" w:hAnsi="黑体" w:eastAsia="黑体" w:cs="黑体"/>
          <w:b/>
          <w:bCs/>
          <w:sz w:val="24"/>
          <w:szCs w:val="24"/>
        </w:rPr>
        <w:t xml:space="preserve">大型企业对接交流会 </w:t>
      </w:r>
    </w:p>
    <w:p w14:paraId="5B390E9C">
      <w:pPr>
        <w:rPr>
          <w:rFonts w:hint="eastAsia" w:ascii="宋体" w:hAnsi="宋体" w:eastAsia="宋体" w:cs="宋体"/>
          <w:sz w:val="24"/>
          <w:szCs w:val="24"/>
        </w:rPr>
      </w:pPr>
      <w:r>
        <w:rPr>
          <w:rFonts w:hint="eastAsia" w:ascii="宋体" w:hAnsi="宋体" w:eastAsia="宋体" w:cs="宋体"/>
          <w:sz w:val="24"/>
          <w:szCs w:val="24"/>
        </w:rPr>
        <w:t xml:space="preserve">邀请大型企业出席，与参与广州应急展的展商通过双选，进行面对面合作洽谈。 </w:t>
      </w:r>
    </w:p>
    <w:p w14:paraId="23809FB4">
      <w:pPr>
        <w:rPr>
          <w:rFonts w:hint="eastAsia" w:ascii="黑体" w:hAnsi="黑体" w:eastAsia="黑体" w:cs="黑体"/>
          <w:b/>
          <w:bCs/>
          <w:sz w:val="24"/>
          <w:szCs w:val="24"/>
        </w:rPr>
      </w:pPr>
      <w:r>
        <w:rPr>
          <w:rFonts w:hint="eastAsia" w:ascii="黑体" w:hAnsi="黑体" w:eastAsia="黑体" w:cs="黑体"/>
          <w:b/>
          <w:bCs/>
          <w:sz w:val="24"/>
          <w:szCs w:val="24"/>
        </w:rPr>
        <w:t xml:space="preserve">社会应急救援力量演练 </w:t>
      </w:r>
    </w:p>
    <w:p w14:paraId="45482223">
      <w:pPr>
        <w:rPr>
          <w:rFonts w:hint="eastAsia" w:ascii="宋体" w:hAnsi="宋体" w:eastAsia="宋体" w:cs="宋体"/>
          <w:sz w:val="24"/>
          <w:szCs w:val="24"/>
        </w:rPr>
      </w:pPr>
      <w:r>
        <w:rPr>
          <w:rFonts w:hint="eastAsia" w:ascii="宋体" w:hAnsi="宋体" w:eastAsia="宋体" w:cs="宋体"/>
          <w:sz w:val="24"/>
          <w:szCs w:val="24"/>
        </w:rPr>
        <w:t>邀请社会应急救援组织到场进行技术交流、演练，助力社会应急安全宣教，树立优秀社会应急模范。</w:t>
      </w:r>
    </w:p>
    <w:p w14:paraId="3965D913">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642610" cy="7089140"/>
            <wp:effectExtent l="0" t="0" r="15240" b="16510"/>
            <wp:docPr id="10" name="图片 10" descr="微信图片_20250818172826_16_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818172826_16_7095"/>
                    <pic:cNvPicPr>
                      <a:picLocks noChangeAspect="1"/>
                    </pic:cNvPicPr>
                  </pic:nvPicPr>
                  <pic:blipFill>
                    <a:blip r:embed="rId29"/>
                    <a:stretch>
                      <a:fillRect/>
                    </a:stretch>
                  </pic:blipFill>
                  <pic:spPr>
                    <a:xfrm>
                      <a:off x="0" y="0"/>
                      <a:ext cx="5642610" cy="7089140"/>
                    </a:xfrm>
                    <a:prstGeom prst="rect">
                      <a:avLst/>
                    </a:prstGeom>
                  </pic:spPr>
                </pic:pic>
              </a:graphicData>
            </a:graphic>
          </wp:inline>
        </w:drawing>
      </w:r>
    </w:p>
    <w:p w14:paraId="38DB52A6">
      <w:pPr>
        <w:rPr>
          <w:rFonts w:hint="eastAsia" w:ascii="黑体" w:hAnsi="黑体" w:eastAsia="黑体" w:cs="黑体"/>
          <w:b/>
          <w:bCs/>
          <w:sz w:val="24"/>
          <w:szCs w:val="24"/>
          <w:lang w:eastAsia="zh-CN"/>
        </w:rPr>
      </w:pPr>
      <w:r>
        <w:rPr>
          <w:rFonts w:hint="eastAsia" w:ascii="黑体" w:hAnsi="黑体" w:eastAsia="黑体" w:cs="黑体"/>
          <w:b/>
          <w:bCs/>
          <w:sz w:val="24"/>
          <w:szCs w:val="24"/>
          <w:lang w:eastAsia="zh-CN"/>
        </w:rPr>
        <w:t>五</w:t>
      </w:r>
      <w:r>
        <w:rPr>
          <w:rFonts w:hint="eastAsia" w:ascii="黑体" w:hAnsi="黑体" w:eastAsia="黑体" w:cs="黑体"/>
          <w:b/>
          <w:bCs/>
          <w:sz w:val="24"/>
          <w:szCs w:val="24"/>
        </w:rPr>
        <w:t>、</w:t>
      </w:r>
      <w:r>
        <w:rPr>
          <w:rFonts w:hint="eastAsia" w:ascii="黑体" w:hAnsi="黑体" w:eastAsia="黑体" w:cs="黑体"/>
          <w:b/>
          <w:bCs/>
          <w:sz w:val="24"/>
          <w:szCs w:val="24"/>
          <w:lang w:eastAsia="zh-CN"/>
        </w:rPr>
        <w:t>宣传合作</w:t>
      </w:r>
      <w:r>
        <w:rPr>
          <w:rFonts w:hint="eastAsia" w:ascii="黑体" w:hAnsi="黑体" w:eastAsia="黑体" w:cs="黑体"/>
          <w:b/>
          <w:bCs/>
          <w:sz w:val="24"/>
          <w:szCs w:val="24"/>
        </w:rPr>
        <w:t>媒体</w:t>
      </w:r>
      <w:r>
        <w:rPr>
          <w:rFonts w:hint="eastAsia" w:ascii="黑体" w:hAnsi="黑体" w:eastAsia="黑体" w:cs="黑体"/>
          <w:b/>
          <w:bCs/>
          <w:sz w:val="24"/>
          <w:szCs w:val="24"/>
          <w:lang w:eastAsia="zh-CN"/>
        </w:rPr>
        <w:t>（排名不分先后）</w:t>
      </w:r>
    </w:p>
    <w:p w14:paraId="0DD6B081">
      <w:pPr>
        <w:ind w:firstLine="480" w:firstLineChars="200"/>
        <w:rPr>
          <w:rFonts w:hint="eastAsia" w:ascii="宋体" w:hAnsi="宋体" w:eastAsia="宋体" w:cs="宋体"/>
          <w:sz w:val="24"/>
          <w:szCs w:val="24"/>
        </w:rPr>
      </w:pPr>
      <w:r>
        <w:rPr>
          <w:rFonts w:hint="eastAsia" w:ascii="宋体" w:hAnsi="宋体" w:eastAsia="宋体" w:cs="宋体"/>
          <w:sz w:val="24"/>
          <w:szCs w:val="24"/>
        </w:rPr>
        <w:t>广东电视台、广州电视台、南方卫视、中国应急安全网、中国应急救援、中国消防网、广东安全杂志社、公共安全装备网、应急救援产业网、消防界、消防百事通、消防天下、消防设备网、消防社区网</w:t>
      </w:r>
      <w:r>
        <w:rPr>
          <w:rFonts w:hint="eastAsia" w:ascii="宋体" w:hAnsi="宋体" w:eastAsia="宋体" w:cs="宋体"/>
          <w:sz w:val="24"/>
          <w:szCs w:val="24"/>
          <w:lang w:eastAsia="zh-CN"/>
        </w:rPr>
        <w:t>、</w:t>
      </w:r>
      <w:r>
        <w:rPr>
          <w:rFonts w:hint="eastAsia" w:ascii="宋体" w:hAnsi="宋体" w:eastAsia="宋体" w:cs="宋体"/>
          <w:sz w:val="24"/>
          <w:szCs w:val="24"/>
        </w:rPr>
        <w:t>消防中国网、</w:t>
      </w:r>
      <w:r>
        <w:rPr>
          <w:rFonts w:hint="eastAsia" w:ascii="宋体" w:hAnsi="宋体" w:eastAsia="宋体" w:cs="宋体"/>
          <w:sz w:val="24"/>
          <w:szCs w:val="24"/>
          <w:lang w:eastAsia="zh-CN"/>
        </w:rPr>
        <w:t>应安网、劳保网、中安网、警用装备网、无人机网、壹象网、招标网、中国采招网、中国制造网、中国泵阀制造网、工博士、建设网、</w:t>
      </w:r>
      <w:r>
        <w:rPr>
          <w:rFonts w:hint="eastAsia" w:ascii="宋体" w:hAnsi="宋体" w:eastAsia="宋体" w:cs="宋体"/>
          <w:sz w:val="24"/>
          <w:szCs w:val="24"/>
        </w:rPr>
        <w:t>智能制造网、</w:t>
      </w:r>
      <w:r>
        <w:rPr>
          <w:rFonts w:hint="eastAsia" w:ascii="宋体" w:hAnsi="宋体" w:eastAsia="宋体" w:cs="宋体"/>
          <w:sz w:val="24"/>
          <w:szCs w:val="24"/>
          <w:lang w:eastAsia="zh-CN"/>
        </w:rPr>
        <w:t>中展通、中国泵阀网、</w:t>
      </w:r>
      <w:r>
        <w:rPr>
          <w:rFonts w:hint="eastAsia" w:ascii="宋体" w:hAnsi="宋体" w:eastAsia="宋体" w:cs="宋体"/>
          <w:sz w:val="24"/>
          <w:szCs w:val="24"/>
        </w:rPr>
        <w:t>浙江兴旺宝明通网络有限公司（旗下网站：化工机械设备网+物流技术网+百分零部件网+兴旺宝总站+重工机械网）、新浪网、搜狐网、网易、凤凰网、今日头条、百度、腾讯等200余家媒体。</w:t>
      </w:r>
    </w:p>
    <w:p w14:paraId="5EB943DB">
      <w:pPr>
        <w:rPr>
          <w:rFonts w:hint="eastAsia" w:ascii="宋体" w:hAnsi="宋体" w:eastAsia="宋体" w:cs="宋体"/>
          <w:sz w:val="24"/>
          <w:szCs w:val="24"/>
        </w:rPr>
      </w:pPr>
    </w:p>
    <w:p w14:paraId="0BF7349E">
      <w:pPr>
        <w:rPr>
          <w:rFonts w:hint="eastAsia" w:ascii="黑体" w:hAnsi="黑体" w:eastAsia="黑体" w:cs="黑体"/>
          <w:b/>
          <w:bCs/>
          <w:sz w:val="24"/>
          <w:szCs w:val="24"/>
        </w:rPr>
      </w:pPr>
      <w:r>
        <w:rPr>
          <w:rFonts w:hint="eastAsia" w:ascii="黑体" w:hAnsi="黑体" w:eastAsia="黑体" w:cs="黑体"/>
          <w:b/>
          <w:bCs/>
          <w:sz w:val="24"/>
          <w:szCs w:val="24"/>
          <w:lang w:eastAsia="zh-CN"/>
        </w:rPr>
        <w:t>六、</w:t>
      </w:r>
      <w:r>
        <w:rPr>
          <w:rFonts w:hint="eastAsia" w:ascii="黑体" w:hAnsi="黑体" w:eastAsia="黑体" w:cs="黑体"/>
          <w:b/>
          <w:bCs/>
          <w:sz w:val="24"/>
          <w:szCs w:val="24"/>
        </w:rPr>
        <w:t xml:space="preserve">IESE历程 </w:t>
      </w:r>
    </w:p>
    <w:p w14:paraId="62197DC4">
      <w:pPr>
        <w:ind w:firstLine="480" w:firstLineChars="200"/>
        <w:rPr>
          <w:rFonts w:hint="eastAsia" w:ascii="宋体" w:hAnsi="宋体" w:eastAsia="宋体" w:cs="宋体"/>
          <w:sz w:val="24"/>
          <w:szCs w:val="24"/>
        </w:rPr>
      </w:pPr>
      <w:r>
        <w:rPr>
          <w:rFonts w:hint="eastAsia" w:ascii="宋体" w:hAnsi="宋体" w:eastAsia="宋体" w:cs="宋体"/>
          <w:sz w:val="24"/>
          <w:szCs w:val="24"/>
        </w:rPr>
        <w:t>2011年，中国（广州）国际消防安全展览会在广州成功举办。依托广州的区域综合优势及行业发展趋势，展览面积逐年扩大，至2016年，中国（广州）国际消防安全展览会出面积已达2万平方米。作为广州应急展的雏形，此时的展会虽未成熟，但已展示出应急安全行业的未来发展潜力。</w:t>
      </w:r>
    </w:p>
    <w:p w14:paraId="592B084C">
      <w:pPr>
        <w:ind w:firstLine="480" w:firstLineChars="200"/>
        <w:rPr>
          <w:rFonts w:hint="eastAsia" w:ascii="宋体" w:hAnsi="宋体" w:eastAsia="宋体" w:cs="宋体"/>
          <w:sz w:val="24"/>
          <w:szCs w:val="24"/>
        </w:rPr>
      </w:pPr>
      <w:r>
        <w:rPr>
          <w:rFonts w:hint="eastAsia" w:ascii="宋体" w:hAnsi="宋体" w:eastAsia="宋体" w:cs="宋体"/>
          <w:sz w:val="24"/>
          <w:szCs w:val="24"/>
        </w:rPr>
        <w:t>自2018年国家应急管理部正式成立，广州应急展紧跟“大应急”时代潮流，并于2019年扩展举办了第二十一届高交会应急安全科技展。</w:t>
      </w:r>
    </w:p>
    <w:p w14:paraId="5A28AD1F">
      <w:pPr>
        <w:ind w:firstLine="480" w:firstLineChars="200"/>
        <w:rPr>
          <w:rFonts w:hint="eastAsia" w:ascii="宋体" w:hAnsi="宋体" w:eastAsia="宋体" w:cs="宋体"/>
          <w:sz w:val="24"/>
          <w:szCs w:val="24"/>
        </w:rPr>
      </w:pPr>
      <w:r>
        <w:rPr>
          <w:rFonts w:hint="eastAsia" w:ascii="宋体" w:hAnsi="宋体" w:eastAsia="宋体" w:cs="宋体"/>
          <w:sz w:val="24"/>
          <w:szCs w:val="24"/>
        </w:rPr>
        <w:t>2020年起，广州应急展获广东省应急管理厅、广东省工业和信息化厅指导，并于2021年被纳入《广东省应急管理“十四五”规划》。此时的应急展全方位展现应急安全行业的发展成就，规模更上新台阶，引领应急安全行业博览会进入新的周期，向更高层次迈进。</w:t>
      </w:r>
    </w:p>
    <w:p w14:paraId="165B9399">
      <w:pPr>
        <w:ind w:firstLine="480" w:firstLineChars="200"/>
        <w:rPr>
          <w:rFonts w:hint="eastAsia" w:ascii="宋体" w:hAnsi="宋体" w:eastAsia="宋体" w:cs="宋体"/>
          <w:sz w:val="24"/>
          <w:szCs w:val="24"/>
        </w:rPr>
      </w:pPr>
      <w:r>
        <w:rPr>
          <w:rFonts w:hint="eastAsia" w:ascii="宋体" w:hAnsi="宋体" w:eastAsia="宋体" w:cs="宋体"/>
          <w:sz w:val="24"/>
          <w:szCs w:val="24"/>
        </w:rPr>
        <w:t>2022年，广州应急展入选“广东省会展项目百强”成长类会展项目榜单及“粤贸全国活动目录”；2023年，广东省商务厅、广东省生态环境厅首次成为广州应急展指导单位，广州应急展再次入选“粤贸全国活动目录”；</w:t>
      </w:r>
    </w:p>
    <w:p w14:paraId="1A17A4C3">
      <w:pPr>
        <w:ind w:firstLine="480"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sz w:val="24"/>
          <w:szCs w:val="24"/>
        </w:rPr>
        <w:t>2024年和2025年，广州应急展连续入选“粤贸全国活动目录”，同时，</w:t>
      </w:r>
      <w:r>
        <w:rPr>
          <w:rFonts w:hint="eastAsia" w:ascii="宋体" w:hAnsi="宋体" w:eastAsia="宋体" w:cs="宋体"/>
          <w:b/>
          <w:bCs/>
          <w:color w:val="000000" w:themeColor="text1"/>
          <w:sz w:val="24"/>
          <w:szCs w:val="24"/>
          <w14:textFill>
            <w14:solidFill>
              <w14:schemeClr w14:val="tx1"/>
            </w14:solidFill>
          </w14:textFill>
        </w:rPr>
        <w:t>广州应急展作为2024年及2025年广东省、广州市安全宣传咨询日活动的协办单位，活动在展会现场举办。</w:t>
      </w:r>
    </w:p>
    <w:p w14:paraId="575F9727">
      <w:pPr>
        <w:ind w:firstLine="480" w:firstLineChars="200"/>
        <w:rPr>
          <w:rFonts w:hint="eastAsia" w:ascii="宋体" w:hAnsi="宋体" w:eastAsia="宋体" w:cs="宋体"/>
          <w:sz w:val="24"/>
          <w:szCs w:val="24"/>
        </w:rPr>
      </w:pPr>
      <w:r>
        <w:rPr>
          <w:rFonts w:hint="eastAsia" w:ascii="宋体" w:hAnsi="宋体" w:eastAsia="宋体" w:cs="宋体"/>
          <w:sz w:val="24"/>
          <w:szCs w:val="24"/>
        </w:rPr>
        <w:t>未来，广州应急展将不忘初心，立足行业根本，坚持创新驱动，积极整合多方资源，进一步达成展会规模化和服务专业化，满足各方需求，致力于打造国际应急大安全平台，成为更高标准的国内外的行业顶级盛会。</w:t>
      </w:r>
    </w:p>
    <w:p w14:paraId="4E16DCF3">
      <w:pPr>
        <w:rPr>
          <w:rFonts w:hint="eastAsia" w:ascii="宋体" w:hAnsi="宋体" w:eastAsia="宋体" w:cs="宋体"/>
          <w:sz w:val="24"/>
          <w:szCs w:val="24"/>
        </w:rPr>
      </w:pPr>
    </w:p>
    <w:p w14:paraId="73D5D68D">
      <w:pPr>
        <w:rPr>
          <w:rFonts w:hint="eastAsia" w:ascii="黑体" w:hAnsi="黑体" w:eastAsia="黑体" w:cs="黑体"/>
          <w:b/>
          <w:bCs/>
          <w:sz w:val="24"/>
          <w:szCs w:val="24"/>
        </w:rPr>
      </w:pPr>
      <w:r>
        <w:rPr>
          <w:rFonts w:hint="eastAsia" w:ascii="黑体" w:hAnsi="黑体" w:eastAsia="黑体" w:cs="黑体"/>
          <w:b/>
          <w:bCs/>
          <w:sz w:val="24"/>
          <w:szCs w:val="24"/>
          <w:lang w:eastAsia="zh-CN"/>
        </w:rPr>
        <w:t>七、</w:t>
      </w:r>
      <w:r>
        <w:rPr>
          <w:rFonts w:hint="eastAsia" w:ascii="黑体" w:hAnsi="黑体" w:eastAsia="黑体" w:cs="黑体"/>
          <w:b/>
          <w:bCs/>
          <w:sz w:val="24"/>
          <w:szCs w:val="24"/>
        </w:rPr>
        <w:t>参展费用</w:t>
      </w:r>
    </w:p>
    <w:p w14:paraId="0FECC956">
      <w:pPr>
        <w:rPr>
          <w:rFonts w:hint="eastAsia" w:ascii="宋体" w:hAnsi="宋体" w:eastAsia="宋体" w:cs="宋体"/>
          <w:sz w:val="24"/>
          <w:szCs w:val="24"/>
        </w:rPr>
      </w:pPr>
      <w:r>
        <w:rPr>
          <w:rFonts w:hint="eastAsia" w:ascii="宋体" w:hAnsi="宋体" w:eastAsia="宋体" w:cs="宋体"/>
          <w:sz w:val="24"/>
          <w:szCs w:val="24"/>
        </w:rPr>
        <w:t xml:space="preserve">标准展位：17,800RMB/9㎡ </w:t>
      </w:r>
    </w:p>
    <w:p w14:paraId="2060EE4D">
      <w:pPr>
        <w:rPr>
          <w:rFonts w:hint="eastAsia" w:ascii="宋体" w:hAnsi="宋体" w:eastAsia="宋体" w:cs="宋体"/>
          <w:sz w:val="24"/>
          <w:szCs w:val="24"/>
        </w:rPr>
      </w:pPr>
      <w:r>
        <w:rPr>
          <w:rFonts w:hint="eastAsia" w:ascii="宋体" w:hAnsi="宋体" w:eastAsia="宋体" w:cs="宋体"/>
          <w:sz w:val="24"/>
          <w:szCs w:val="24"/>
        </w:rPr>
        <w:t>特装空地：1400 RMB /㎡（36㎡起租）</w:t>
      </w:r>
    </w:p>
    <w:p w14:paraId="7918E830">
      <w:pPr>
        <w:rPr>
          <w:rFonts w:hint="eastAsia" w:ascii="黑体" w:hAnsi="黑体" w:eastAsia="黑体" w:cs="黑体"/>
          <w:b/>
          <w:bCs/>
          <w:sz w:val="24"/>
          <w:szCs w:val="24"/>
        </w:rPr>
      </w:pPr>
      <w:r>
        <w:rPr>
          <w:rFonts w:hint="eastAsia" w:ascii="黑体" w:hAnsi="黑体" w:eastAsia="黑体" w:cs="黑体"/>
          <w:b/>
          <w:bCs/>
          <w:sz w:val="24"/>
          <w:szCs w:val="24"/>
        </w:rPr>
        <w:t xml:space="preserve">参展程序 </w:t>
      </w:r>
    </w:p>
    <w:p w14:paraId="7E2033B2">
      <w:pPr>
        <w:rPr>
          <w:rFonts w:hint="eastAsia" w:ascii="宋体" w:hAnsi="宋体" w:eastAsia="宋体" w:cs="宋体"/>
          <w:sz w:val="24"/>
          <w:szCs w:val="24"/>
        </w:rPr>
      </w:pPr>
      <w:r>
        <w:rPr>
          <w:rFonts w:hint="eastAsia" w:ascii="宋体" w:hAnsi="宋体" w:eastAsia="宋体" w:cs="宋体"/>
          <w:sz w:val="24"/>
          <w:szCs w:val="24"/>
        </w:rPr>
        <w:t>联系组委会→预订展位→填写《展位申请表》→签署参展合同→支付参展费用→正式参展</w:t>
      </w:r>
    </w:p>
    <w:p w14:paraId="32DBB1BD">
      <w:pPr>
        <w:rPr>
          <w:rFonts w:hint="eastAsia" w:ascii="黑体" w:hAnsi="黑体" w:eastAsia="黑体" w:cs="黑体"/>
          <w:b/>
          <w:bCs/>
          <w:i w:val="0"/>
          <w:iCs w:val="0"/>
          <w:sz w:val="24"/>
          <w:szCs w:val="24"/>
          <w:lang w:eastAsia="zh-CN"/>
        </w:rPr>
      </w:pPr>
      <w:r>
        <w:rPr>
          <w:rFonts w:hint="eastAsia" w:ascii="黑体" w:hAnsi="黑体" w:eastAsia="黑体" w:cs="黑体"/>
          <w:b/>
          <w:bCs/>
          <w:i w:val="0"/>
          <w:iCs w:val="0"/>
          <w:sz w:val="24"/>
          <w:szCs w:val="24"/>
          <w:lang w:eastAsia="zh-CN"/>
        </w:rPr>
        <w:t>展会服务</w:t>
      </w:r>
    </w:p>
    <w:p w14:paraId="3FAB27B8">
      <w:pPr>
        <w:rPr>
          <w:rFonts w:hint="eastAsia"/>
          <w:sz w:val="24"/>
          <w:szCs w:val="24"/>
        </w:rPr>
      </w:pPr>
      <w:r>
        <w:rPr>
          <w:rFonts w:hint="eastAsia"/>
          <w:sz w:val="24"/>
          <w:szCs w:val="24"/>
        </w:rPr>
        <w:t>参展方案和费用估算</w:t>
      </w:r>
    </w:p>
    <w:p w14:paraId="0ADDAE68">
      <w:pPr>
        <w:rPr>
          <w:rFonts w:hint="eastAsia"/>
          <w:sz w:val="24"/>
          <w:szCs w:val="24"/>
        </w:rPr>
      </w:pPr>
      <w:r>
        <w:rPr>
          <w:rFonts w:hint="eastAsia"/>
          <w:sz w:val="24"/>
          <w:szCs w:val="24"/>
        </w:rPr>
        <w:t>为展商列出的买家发送直邮</w:t>
      </w:r>
    </w:p>
    <w:p w14:paraId="66FCECF6">
      <w:pPr>
        <w:rPr>
          <w:rFonts w:hint="eastAsia"/>
          <w:sz w:val="24"/>
          <w:szCs w:val="24"/>
        </w:rPr>
      </w:pPr>
      <w:r>
        <w:rPr>
          <w:rFonts w:hint="eastAsia"/>
          <w:sz w:val="24"/>
          <w:szCs w:val="24"/>
        </w:rPr>
        <w:t>性展示方案建议</w:t>
      </w:r>
    </w:p>
    <w:p w14:paraId="656B2724">
      <w:pPr>
        <w:rPr>
          <w:rFonts w:hint="eastAsia"/>
          <w:sz w:val="24"/>
          <w:szCs w:val="24"/>
        </w:rPr>
      </w:pPr>
      <w:r>
        <w:rPr>
          <w:rFonts w:hint="eastAsia"/>
          <w:sz w:val="24"/>
          <w:szCs w:val="24"/>
        </w:rPr>
        <w:t>商贸配对服务</w:t>
      </w:r>
    </w:p>
    <w:p w14:paraId="0D8E82AD">
      <w:pPr>
        <w:rPr>
          <w:rFonts w:hint="eastAsia"/>
          <w:sz w:val="24"/>
          <w:szCs w:val="24"/>
        </w:rPr>
      </w:pPr>
      <w:r>
        <w:rPr>
          <w:rFonts w:hint="eastAsia"/>
          <w:sz w:val="24"/>
          <w:szCs w:val="24"/>
        </w:rPr>
        <w:t>拜访展商的重要买家</w:t>
      </w:r>
    </w:p>
    <w:p w14:paraId="683D8F29">
      <w:pPr>
        <w:rPr>
          <w:rFonts w:hint="eastAsia"/>
          <w:sz w:val="24"/>
          <w:szCs w:val="24"/>
        </w:rPr>
      </w:pPr>
      <w:r>
        <w:rPr>
          <w:rFonts w:hint="eastAsia"/>
          <w:sz w:val="24"/>
          <w:szCs w:val="24"/>
        </w:rPr>
        <w:t>综合宣传机会</w:t>
      </w:r>
    </w:p>
    <w:p w14:paraId="2B45DB86">
      <w:pPr>
        <w:rPr>
          <w:rFonts w:hint="eastAsia"/>
          <w:sz w:val="24"/>
          <w:szCs w:val="24"/>
        </w:rPr>
      </w:pPr>
      <w:r>
        <w:rPr>
          <w:rFonts w:hint="eastAsia"/>
          <w:sz w:val="24"/>
          <w:szCs w:val="24"/>
        </w:rPr>
        <w:t>制作个性化参观券、宣传品、礼品</w:t>
      </w:r>
    </w:p>
    <w:p w14:paraId="3C8415C6">
      <w:pPr>
        <w:rPr>
          <w:rFonts w:hint="eastAsia"/>
          <w:sz w:val="24"/>
          <w:szCs w:val="24"/>
        </w:rPr>
      </w:pPr>
      <w:r>
        <w:rPr>
          <w:rFonts w:hint="eastAsia"/>
          <w:sz w:val="24"/>
          <w:szCs w:val="24"/>
        </w:rPr>
        <w:t>展商新闻稿代发</w:t>
      </w:r>
    </w:p>
    <w:p w14:paraId="67D811F2">
      <w:pPr>
        <w:rPr>
          <w:rFonts w:hint="eastAsia"/>
          <w:sz w:val="24"/>
          <w:szCs w:val="24"/>
        </w:rPr>
      </w:pPr>
      <w:r>
        <w:rPr>
          <w:rFonts w:hint="eastAsia"/>
          <w:sz w:val="24"/>
          <w:szCs w:val="24"/>
        </w:rPr>
        <w:t>展会网站宣传</w:t>
      </w:r>
    </w:p>
    <w:p w14:paraId="45D4830B">
      <w:pPr>
        <w:rPr>
          <w:rFonts w:hint="eastAsia"/>
          <w:sz w:val="24"/>
          <w:szCs w:val="24"/>
        </w:rPr>
      </w:pPr>
      <w:r>
        <w:rPr>
          <w:rFonts w:hint="eastAsia"/>
          <w:sz w:val="24"/>
          <w:szCs w:val="24"/>
        </w:rPr>
        <w:t>展前预览</w:t>
      </w:r>
    </w:p>
    <w:p w14:paraId="1476F6BB">
      <w:pPr>
        <w:rPr>
          <w:rFonts w:hint="eastAsia"/>
          <w:sz w:val="24"/>
          <w:szCs w:val="24"/>
        </w:rPr>
      </w:pPr>
      <w:r>
        <w:rPr>
          <w:rFonts w:hint="eastAsia"/>
          <w:sz w:val="24"/>
          <w:szCs w:val="24"/>
        </w:rPr>
        <w:t>展后观众数据</w:t>
      </w:r>
      <w:r>
        <w:rPr>
          <w:rFonts w:hint="eastAsia"/>
          <w:sz w:val="24"/>
          <w:szCs w:val="24"/>
          <w:lang w:eastAsia="zh-CN"/>
        </w:rPr>
        <w:t>与</w:t>
      </w:r>
      <w:r>
        <w:rPr>
          <w:rFonts w:hint="eastAsia"/>
          <w:sz w:val="24"/>
          <w:szCs w:val="24"/>
        </w:rPr>
        <w:t>分析报告</w:t>
      </w:r>
    </w:p>
    <w:p w14:paraId="0C99930D">
      <w:pPr>
        <w:rPr>
          <w:rFonts w:hint="eastAsia"/>
          <w:sz w:val="24"/>
          <w:szCs w:val="24"/>
        </w:rPr>
      </w:pPr>
      <w:r>
        <w:rPr>
          <w:rFonts w:hint="eastAsia"/>
          <w:sz w:val="24"/>
          <w:szCs w:val="24"/>
        </w:rPr>
        <w:t>代为邀请特别买家</w:t>
      </w:r>
    </w:p>
    <w:p w14:paraId="03DAC38C">
      <w:pPr>
        <w:rPr>
          <w:rFonts w:hint="eastAsia"/>
          <w:sz w:val="24"/>
          <w:szCs w:val="24"/>
        </w:rPr>
      </w:pPr>
      <w:r>
        <w:rPr>
          <w:rFonts w:hint="eastAsia"/>
          <w:sz w:val="24"/>
          <w:szCs w:val="24"/>
        </w:rPr>
        <w:t>参展和展览回顾短片</w:t>
      </w:r>
    </w:p>
    <w:p w14:paraId="7B0486AB">
      <w:pPr>
        <w:rPr>
          <w:rFonts w:hint="eastAsia"/>
        </w:rPr>
      </w:pPr>
    </w:p>
    <w:p w14:paraId="535C14F1">
      <w:pPr>
        <w:rPr>
          <w:rFonts w:hint="eastAsia" w:ascii="黑体" w:hAnsi="黑体" w:eastAsia="黑体" w:cs="黑体"/>
          <w:b/>
          <w:bCs/>
          <w:sz w:val="24"/>
          <w:szCs w:val="24"/>
        </w:rPr>
      </w:pPr>
      <w:r>
        <w:rPr>
          <w:rFonts w:hint="eastAsia" w:ascii="黑体" w:hAnsi="黑体" w:eastAsia="黑体" w:cs="黑体"/>
          <w:b/>
          <w:bCs/>
          <w:sz w:val="24"/>
          <w:szCs w:val="24"/>
          <w:lang w:eastAsia="zh-CN"/>
        </w:rPr>
        <w:t>八</w:t>
      </w:r>
      <w:r>
        <w:rPr>
          <w:rFonts w:hint="eastAsia" w:ascii="黑体" w:hAnsi="黑体" w:eastAsia="黑体" w:cs="黑体"/>
          <w:b/>
          <w:bCs/>
          <w:sz w:val="24"/>
          <w:szCs w:val="24"/>
        </w:rPr>
        <w:t>、广州国际应急安全博览会组委会联系方式：</w:t>
      </w:r>
    </w:p>
    <w:p w14:paraId="474B7366">
      <w:pPr>
        <w:rPr>
          <w:rFonts w:hint="eastAsia" w:ascii="宋体" w:hAnsi="宋体" w:eastAsia="宋体" w:cs="宋体"/>
          <w:sz w:val="24"/>
          <w:szCs w:val="24"/>
        </w:rPr>
      </w:pPr>
      <w:r>
        <w:rPr>
          <w:rFonts w:hint="eastAsia" w:ascii="宋体" w:hAnsi="宋体" w:eastAsia="宋体" w:cs="宋体"/>
          <w:sz w:val="24"/>
          <w:szCs w:val="24"/>
        </w:rPr>
        <w:t>13392127135、13710107458</w:t>
      </w:r>
    </w:p>
    <w:p w14:paraId="646610F3">
      <w:pPr>
        <w:rPr>
          <w:rFonts w:hint="eastAsia" w:ascii="宋体" w:hAnsi="宋体" w:eastAsia="宋体" w:cs="宋体"/>
          <w:sz w:val="24"/>
          <w:szCs w:val="24"/>
        </w:rPr>
      </w:pPr>
      <w:r>
        <w:rPr>
          <w:rFonts w:hint="eastAsia" w:ascii="宋体" w:hAnsi="宋体" w:eastAsia="宋体" w:cs="宋体"/>
          <w:sz w:val="24"/>
          <w:szCs w:val="24"/>
        </w:rPr>
        <w:t>展会网址：http://www.cgiese.com</w:t>
      </w:r>
    </w:p>
    <w:p w14:paraId="5AFA1F0C">
      <w:pPr>
        <w:rPr>
          <w:rFonts w:hint="eastAsia"/>
        </w:rPr>
      </w:pPr>
      <w:r>
        <w:rPr>
          <w:rFonts w:hint="eastAsia" w:ascii="宋体" w:hAnsi="宋体" w:eastAsia="宋体" w:cs="宋体"/>
          <w:sz w:val="24"/>
          <w:szCs w:val="24"/>
        </w:rPr>
        <w:t>地址：广州市海珠区新港东路1000号保利世贸C座908</w:t>
      </w:r>
    </w:p>
    <w:p w14:paraId="5F30F8A4"/>
    <w:sectPr>
      <w:pgSz w:w="11906" w:h="16838"/>
      <w:pgMar w:top="1043" w:right="1463" w:bottom="1043"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3D6231"/>
    <w:rsid w:val="072260E8"/>
    <w:rsid w:val="0958005D"/>
    <w:rsid w:val="18AF5EEB"/>
    <w:rsid w:val="1AFC1190"/>
    <w:rsid w:val="22DB2D94"/>
    <w:rsid w:val="239857CE"/>
    <w:rsid w:val="27644345"/>
    <w:rsid w:val="2B7D59D5"/>
    <w:rsid w:val="33A1247D"/>
    <w:rsid w:val="37B7401D"/>
    <w:rsid w:val="390B0AC4"/>
    <w:rsid w:val="417403B9"/>
    <w:rsid w:val="47835CCA"/>
    <w:rsid w:val="50680152"/>
    <w:rsid w:val="600B4812"/>
    <w:rsid w:val="675863D3"/>
    <w:rsid w:val="697B284D"/>
    <w:rsid w:val="7346211D"/>
    <w:rsid w:val="75B275F6"/>
    <w:rsid w:val="7602371A"/>
    <w:rsid w:val="7BA67BFD"/>
    <w:rsid w:val="7F792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4556</Words>
  <Characters>4733</Characters>
  <Lines>0</Lines>
  <Paragraphs>0</Paragraphs>
  <TotalTime>2</TotalTime>
  <ScaleCrop>false</ScaleCrop>
  <LinksUpToDate>false</LinksUpToDate>
  <CharactersWithSpaces>4783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2025-08-18T07:53:00Z</dcterms:created>
  <dc:creator>Administrator</dc:creator>
  <cp:lastModifiedBy>蔚蓝星空^O^消防云</cp:lastModifiedBy>
  <dcterms:modified xsi:type="dcterms:W3CDTF">2025-08-26T00:31:40Z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eyJoZGlkIjoiYzU1OTU3ZDAyOWM0YTA4NjViYTk2OWYyYzdlM2I5ZGMiLCJ1c2VySWQiOiI1Mjk1OTY2ODYifQ==</vt:lpwstr>
  </property>
  <property fmtid="{D5CDD505-2E9C-101B-9397-08002B2CF9AE}" pid="4" name="ICV">
    <vt:lpwstr>30DBE147E0574D3FA4E697584D05A901_12</vt:lpwstr>
  </property>
</Properties>
</file>