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A515" w14:textId="77777777" w:rsidR="00B55CC2" w:rsidRDefault="00CA3A6D">
      <w:pPr>
        <w:spacing w:beforeLines="50" w:before="156" w:afterLines="50" w:after="156" w:line="360" w:lineRule="auto"/>
        <w:jc w:val="center"/>
        <w:rPr>
          <w:rStyle w:val="NormalCharacter"/>
          <w:rFonts w:ascii="仿宋_GB2312" w:eastAsia="仿宋_GB2312" w:hAnsi="仿宋_GB2312" w:cs="仿宋_GB2312"/>
          <w:b/>
          <w:bCs/>
          <w:sz w:val="32"/>
          <w:szCs w:val="32"/>
        </w:rPr>
      </w:pPr>
      <w:r>
        <w:rPr>
          <w:rStyle w:val="NormalCharacter"/>
          <w:rFonts w:ascii="仿宋_GB2312" w:eastAsia="仿宋_GB2312" w:hAnsi="仿宋_GB2312" w:cs="仿宋_GB2312" w:hint="eastAsia"/>
          <w:b/>
          <w:bCs/>
          <w:sz w:val="32"/>
          <w:szCs w:val="32"/>
        </w:rPr>
        <w:t>2024中国（河北）安全应急博览会方案</w:t>
      </w:r>
    </w:p>
    <w:p w14:paraId="1D53D067" w14:textId="6419DD5C" w:rsidR="00B55CC2" w:rsidRDefault="00B55CC2">
      <w:pPr>
        <w:spacing w:beforeLines="50" w:before="156" w:afterLines="50" w:after="156" w:line="360" w:lineRule="auto"/>
        <w:jc w:val="center"/>
        <w:rPr>
          <w:rStyle w:val="NormalCharacter"/>
          <w:rFonts w:ascii="仿宋_GB2312" w:eastAsia="仿宋_GB2312" w:hAnsi="仿宋_GB2312" w:cs="仿宋_GB2312"/>
          <w:b/>
          <w:bCs/>
          <w:sz w:val="32"/>
          <w:szCs w:val="32"/>
        </w:rPr>
      </w:pPr>
    </w:p>
    <w:p w14:paraId="336EB49E" w14:textId="77777777" w:rsidR="00B55CC2" w:rsidRDefault="00CA3A6D">
      <w:pPr>
        <w:spacing w:beforeLines="25" w:before="78" w:afterLines="25" w:after="78" w:line="360" w:lineRule="auto"/>
        <w:ind w:left="1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一、展会背景</w:t>
      </w:r>
    </w:p>
    <w:p w14:paraId="3913E9E4"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以习近平新时代中国特色社会主义思想和党的二十大精神为指导，全面贯彻习近平总书记在河北考察时的重要指示精神，按照省委省政府决策部署，统筹发展和安全，以壮大安全应急产业为目标，以提升先进安全应急产品供给与应用水平为主线，做好为企业服务、为产业赋能的平台角色，促进京津</w:t>
      </w:r>
      <w:proofErr w:type="gramStart"/>
      <w:r>
        <w:rPr>
          <w:rStyle w:val="NormalCharacter"/>
          <w:rFonts w:ascii="仿宋_GB2312" w:eastAsia="仿宋_GB2312" w:hAnsi="仿宋_GB2312" w:cs="仿宋_GB2312" w:hint="eastAsia"/>
          <w:sz w:val="30"/>
          <w:szCs w:val="30"/>
        </w:rPr>
        <w:t>冀安全</w:t>
      </w:r>
      <w:proofErr w:type="gramEnd"/>
      <w:r>
        <w:rPr>
          <w:rStyle w:val="NormalCharacter"/>
          <w:rFonts w:ascii="仿宋_GB2312" w:eastAsia="仿宋_GB2312" w:hAnsi="仿宋_GB2312" w:cs="仿宋_GB2312" w:hint="eastAsia"/>
          <w:sz w:val="30"/>
          <w:szCs w:val="30"/>
        </w:rPr>
        <w:t>应急产业集聚发展，增强区域自主创新能力，促进政产学研用紧密合作。特拟于2024年6月20日—22日于石家庄国际会展中心举办“2024中国（河北）安全应急博览会”。</w:t>
      </w:r>
    </w:p>
    <w:p w14:paraId="4C009729"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2024中国（河北）安全应急博览会，以“聚焦安全应急产业，强化区域协同发展”为主题，聚焦安全应急产业中的装备制造、园区建设、综合服务三大方向，汇聚产业龙头企业、优质项目、领先产品进行展览展示。同期举办相关技术论坛、产业对接、新品发布、安全演练等系列活动，促进安全应急产业与政府、高校、科研院所、服务机构等上下游企业间的创新协同，完善、健全、壮大安全应急产业链，成为落实创新驱动发展战略的关键载体与推动产业高质量创新发展的坚实平台。</w:t>
      </w:r>
    </w:p>
    <w:p w14:paraId="4DB3D6BC" w14:textId="77777777" w:rsidR="00B55CC2" w:rsidRDefault="00CA3A6D">
      <w:pPr>
        <w:spacing w:beforeLines="25" w:before="78" w:afterLines="25" w:after="78" w:line="360" w:lineRule="auto"/>
        <w:ind w:left="-2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二、展会概况</w:t>
      </w:r>
    </w:p>
    <w:p w14:paraId="0741D825" w14:textId="77777777" w:rsidR="00B55CC2" w:rsidRDefault="00CA3A6D">
      <w:pPr>
        <w:numPr>
          <w:ilvl w:val="0"/>
          <w:numId w:val="2"/>
        </w:num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展会名称：</w:t>
      </w:r>
      <w:r>
        <w:rPr>
          <w:rStyle w:val="NormalCharacter"/>
          <w:rFonts w:ascii="仿宋_GB2312" w:eastAsia="仿宋_GB2312" w:hAnsi="仿宋_GB2312" w:cs="仿宋_GB2312" w:hint="eastAsia"/>
          <w:sz w:val="30"/>
          <w:szCs w:val="30"/>
        </w:rPr>
        <w:t>2024中国（河北）安全应急博览会</w:t>
      </w:r>
    </w:p>
    <w:p w14:paraId="040DC1DC" w14:textId="77777777" w:rsidR="00B55CC2" w:rsidRDefault="00CA3A6D">
      <w:pPr>
        <w:spacing w:beforeLines="25" w:before="78" w:afterLines="25" w:after="78" w:line="360" w:lineRule="auto"/>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sz w:val="30"/>
          <w:szCs w:val="30"/>
        </w:rPr>
        <w:lastRenderedPageBreak/>
        <w:t>2、</w:t>
      </w:r>
      <w:r>
        <w:rPr>
          <w:rStyle w:val="NormalCharacter"/>
          <w:rFonts w:ascii="仿宋_GB2312" w:eastAsia="仿宋_GB2312" w:hAnsi="仿宋_GB2312" w:cs="仿宋_GB2312" w:hint="eastAsia"/>
          <w:b/>
          <w:bCs/>
          <w:sz w:val="30"/>
          <w:szCs w:val="30"/>
        </w:rPr>
        <w:t>组织机构：</w:t>
      </w:r>
    </w:p>
    <w:p w14:paraId="7185B8B6" w14:textId="16A63985" w:rsidR="008845EE" w:rsidRDefault="008845EE" w:rsidP="008845EE">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b/>
          <w:bCs/>
          <w:sz w:val="30"/>
          <w:szCs w:val="30"/>
        </w:rPr>
        <w:t>主办单位</w:t>
      </w:r>
      <w:r>
        <w:rPr>
          <w:rStyle w:val="NormalCharacter"/>
          <w:rFonts w:ascii="仿宋_GB2312" w:eastAsia="仿宋_GB2312" w:hAnsi="仿宋_GB2312" w:cs="仿宋_GB2312" w:hint="eastAsia"/>
          <w:sz w:val="30"/>
          <w:szCs w:val="30"/>
        </w:rPr>
        <w:t>：</w:t>
      </w:r>
      <w:r w:rsidRPr="008845EE">
        <w:rPr>
          <w:rStyle w:val="NormalCharacter"/>
          <w:rFonts w:ascii="仿宋_GB2312" w:eastAsia="仿宋_GB2312" w:hAnsi="仿宋_GB2312" w:cs="仿宋_GB2312" w:hint="eastAsia"/>
          <w:sz w:val="30"/>
          <w:szCs w:val="30"/>
        </w:rPr>
        <w:t>河北省应急产业联盟</w:t>
      </w:r>
    </w:p>
    <w:p w14:paraId="0589F499" w14:textId="76CEAB12" w:rsid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sz w:val="30"/>
          <w:szCs w:val="30"/>
        </w:rPr>
        <w:t>河北省应急管理与安全生产协会</w:t>
      </w:r>
    </w:p>
    <w:p w14:paraId="694DB951" w14:textId="6D876BCC" w:rsidR="008845EE" w:rsidRPr="008845EE" w:rsidRDefault="008845EE" w:rsidP="008845EE">
      <w:pPr>
        <w:spacing w:beforeLines="25" w:before="78" w:afterLines="25" w:after="78" w:line="360" w:lineRule="auto"/>
        <w:ind w:firstLineChars="200" w:firstLine="600"/>
        <w:rPr>
          <w:rStyle w:val="NormalCharacter"/>
          <w:rFonts w:ascii="仿宋_GB2312" w:eastAsia="仿宋_GB2312" w:hAnsi="仿宋_GB2312" w:cs="仿宋_GB2312" w:hint="eastAsia"/>
          <w:sz w:val="30"/>
          <w:szCs w:val="30"/>
        </w:rPr>
      </w:pPr>
      <w:r w:rsidRPr="008845EE">
        <w:rPr>
          <w:rStyle w:val="NormalCharacter"/>
          <w:rFonts w:ascii="仿宋_GB2312" w:eastAsia="仿宋_GB2312" w:hAnsi="仿宋_GB2312" w:cs="仿宋_GB2312" w:hint="eastAsia"/>
          <w:b/>
          <w:bCs/>
          <w:sz w:val="30"/>
          <w:szCs w:val="30"/>
        </w:rPr>
        <w:t>协办单位</w:t>
      </w:r>
      <w:r>
        <w:rPr>
          <w:rStyle w:val="NormalCharacter"/>
          <w:rFonts w:ascii="仿宋_GB2312" w:eastAsia="仿宋_GB2312" w:hAnsi="仿宋_GB2312" w:cs="仿宋_GB2312" w:hint="eastAsia"/>
          <w:sz w:val="30"/>
          <w:szCs w:val="30"/>
        </w:rPr>
        <w:t>：</w:t>
      </w:r>
      <w:r w:rsidRPr="008845EE">
        <w:rPr>
          <w:rStyle w:val="NormalCharacter"/>
          <w:rFonts w:ascii="仿宋_GB2312" w:eastAsia="仿宋_GB2312" w:hAnsi="仿宋_GB2312" w:cs="仿宋_GB2312" w:hint="eastAsia"/>
          <w:sz w:val="30"/>
          <w:szCs w:val="30"/>
        </w:rPr>
        <w:t>北京应急技术创新联盟</w:t>
      </w:r>
    </w:p>
    <w:p w14:paraId="65CB376F" w14:textId="77777777" w:rsidR="008845EE" w:rsidRP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hint="eastAsia"/>
          <w:sz w:val="30"/>
          <w:szCs w:val="30"/>
        </w:rPr>
      </w:pPr>
      <w:r w:rsidRPr="008845EE">
        <w:rPr>
          <w:rStyle w:val="NormalCharacter"/>
          <w:rFonts w:ascii="仿宋_GB2312" w:eastAsia="仿宋_GB2312" w:hAnsi="仿宋_GB2312" w:cs="仿宋_GB2312" w:hint="eastAsia"/>
          <w:sz w:val="30"/>
          <w:szCs w:val="30"/>
        </w:rPr>
        <w:t>北京水利学会</w:t>
      </w:r>
    </w:p>
    <w:p w14:paraId="401A8374" w14:textId="52A1606E" w:rsidR="008845EE" w:rsidRP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hint="eastAsia"/>
          <w:sz w:val="30"/>
          <w:szCs w:val="30"/>
        </w:rPr>
      </w:pPr>
      <w:r w:rsidRPr="008845EE">
        <w:rPr>
          <w:rStyle w:val="NormalCharacter"/>
          <w:rFonts w:ascii="仿宋_GB2312" w:eastAsia="仿宋_GB2312" w:hAnsi="仿宋_GB2312" w:cs="仿宋_GB2312" w:hint="eastAsia"/>
          <w:sz w:val="30"/>
          <w:szCs w:val="30"/>
        </w:rPr>
        <w:t>河北省电子信息技术研究院</w:t>
      </w:r>
    </w:p>
    <w:p w14:paraId="5431C2B8" w14:textId="77777777" w:rsidR="008845EE" w:rsidRP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hint="eastAsia"/>
          <w:sz w:val="30"/>
          <w:szCs w:val="30"/>
        </w:rPr>
      </w:pPr>
      <w:r w:rsidRPr="008845EE">
        <w:rPr>
          <w:rStyle w:val="NormalCharacter"/>
          <w:rFonts w:ascii="仿宋_GB2312" w:eastAsia="仿宋_GB2312" w:hAnsi="仿宋_GB2312" w:cs="仿宋_GB2312" w:hint="eastAsia"/>
          <w:sz w:val="30"/>
          <w:szCs w:val="30"/>
        </w:rPr>
        <w:t>北京应急管理学会</w:t>
      </w:r>
    </w:p>
    <w:p w14:paraId="5871B9AA" w14:textId="77777777" w:rsid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sz w:val="30"/>
          <w:szCs w:val="30"/>
        </w:rPr>
        <w:t>天津市水利学会</w:t>
      </w:r>
    </w:p>
    <w:p w14:paraId="148AE9F4" w14:textId="77777777" w:rsid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sz w:val="30"/>
          <w:szCs w:val="30"/>
        </w:rPr>
        <w:t>天津市智能制造与设备维护技术协会</w:t>
      </w:r>
    </w:p>
    <w:p w14:paraId="15F9617E" w14:textId="3B0A4878" w:rsid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sz w:val="30"/>
          <w:szCs w:val="30"/>
        </w:rPr>
        <w:t>未来产业技术创新战略联盟</w:t>
      </w:r>
    </w:p>
    <w:p w14:paraId="555DF074" w14:textId="38E7CFED" w:rsidR="008845EE" w:rsidRDefault="008845EE" w:rsidP="008845EE">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b/>
          <w:bCs/>
          <w:sz w:val="30"/>
          <w:szCs w:val="30"/>
        </w:rPr>
        <w:t>承办单位</w:t>
      </w:r>
      <w:r>
        <w:rPr>
          <w:rStyle w:val="NormalCharacter"/>
          <w:rFonts w:ascii="仿宋_GB2312" w:eastAsia="仿宋_GB2312" w:hAnsi="仿宋_GB2312" w:cs="仿宋_GB2312" w:hint="eastAsia"/>
          <w:sz w:val="30"/>
          <w:szCs w:val="30"/>
        </w:rPr>
        <w:t>：</w:t>
      </w:r>
      <w:r w:rsidRPr="008845EE">
        <w:rPr>
          <w:rStyle w:val="NormalCharacter"/>
          <w:rFonts w:ascii="仿宋_GB2312" w:eastAsia="仿宋_GB2312" w:hAnsi="仿宋_GB2312" w:cs="仿宋_GB2312" w:hint="eastAsia"/>
          <w:sz w:val="30"/>
          <w:szCs w:val="30"/>
        </w:rPr>
        <w:t>中建科工集团运营有限公司</w:t>
      </w:r>
    </w:p>
    <w:p w14:paraId="63CA2361" w14:textId="77777777" w:rsid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sz w:val="30"/>
          <w:szCs w:val="30"/>
        </w:rPr>
      </w:pPr>
      <w:r w:rsidRPr="008845EE">
        <w:rPr>
          <w:rStyle w:val="NormalCharacter"/>
          <w:rFonts w:ascii="仿宋_GB2312" w:eastAsia="仿宋_GB2312" w:hAnsi="仿宋_GB2312" w:cs="仿宋_GB2312" w:hint="eastAsia"/>
          <w:sz w:val="30"/>
          <w:szCs w:val="30"/>
        </w:rPr>
        <w:t>中建</w:t>
      </w:r>
      <w:proofErr w:type="gramStart"/>
      <w:r w:rsidRPr="008845EE">
        <w:rPr>
          <w:rStyle w:val="NormalCharacter"/>
          <w:rFonts w:ascii="仿宋_GB2312" w:eastAsia="仿宋_GB2312" w:hAnsi="仿宋_GB2312" w:cs="仿宋_GB2312" w:hint="eastAsia"/>
          <w:sz w:val="30"/>
          <w:szCs w:val="30"/>
        </w:rPr>
        <w:t>浩</w:t>
      </w:r>
      <w:proofErr w:type="gramEnd"/>
      <w:r w:rsidRPr="008845EE">
        <w:rPr>
          <w:rStyle w:val="NormalCharacter"/>
          <w:rFonts w:ascii="仿宋_GB2312" w:eastAsia="仿宋_GB2312" w:hAnsi="仿宋_GB2312" w:cs="仿宋_GB2312" w:hint="eastAsia"/>
          <w:sz w:val="30"/>
          <w:szCs w:val="30"/>
        </w:rPr>
        <w:t>运有限公司</w:t>
      </w:r>
    </w:p>
    <w:p w14:paraId="1407F4EC" w14:textId="0FDE720D" w:rsidR="008845EE" w:rsidRPr="008845EE" w:rsidRDefault="008845EE" w:rsidP="008845EE">
      <w:pPr>
        <w:spacing w:beforeLines="25" w:before="78" w:afterLines="25" w:after="78" w:line="360" w:lineRule="auto"/>
        <w:ind w:firstLineChars="700" w:firstLine="2100"/>
        <w:rPr>
          <w:rStyle w:val="NormalCharacter"/>
          <w:rFonts w:ascii="仿宋_GB2312" w:eastAsia="仿宋_GB2312" w:hAnsi="仿宋_GB2312" w:cs="仿宋_GB2312" w:hint="eastAsia"/>
          <w:sz w:val="30"/>
          <w:szCs w:val="30"/>
        </w:rPr>
      </w:pPr>
      <w:proofErr w:type="gramStart"/>
      <w:r w:rsidRPr="008845EE">
        <w:rPr>
          <w:rStyle w:val="NormalCharacter"/>
          <w:rFonts w:ascii="仿宋_GB2312" w:eastAsia="仿宋_GB2312" w:hAnsi="仿宋_GB2312" w:cs="仿宋_GB2312" w:hint="eastAsia"/>
          <w:sz w:val="30"/>
          <w:szCs w:val="30"/>
        </w:rPr>
        <w:t>启越东方</w:t>
      </w:r>
      <w:proofErr w:type="gramEnd"/>
      <w:r w:rsidRPr="008845EE">
        <w:rPr>
          <w:rStyle w:val="NormalCharacter"/>
          <w:rFonts w:ascii="仿宋_GB2312" w:eastAsia="仿宋_GB2312" w:hAnsi="仿宋_GB2312" w:cs="仿宋_GB2312" w:hint="eastAsia"/>
          <w:sz w:val="30"/>
          <w:szCs w:val="30"/>
        </w:rPr>
        <w:t>科技(河北)有限公司</w:t>
      </w:r>
    </w:p>
    <w:p w14:paraId="3A2AC677" w14:textId="172DAAFC" w:rsidR="00B55CC2" w:rsidRDefault="00CA3A6D" w:rsidP="008845EE">
      <w:pPr>
        <w:spacing w:beforeLines="25" w:before="78" w:afterLines="25" w:after="78" w:line="360" w:lineRule="auto"/>
        <w:ind w:firstLineChars="200" w:firstLine="6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sz w:val="30"/>
          <w:szCs w:val="30"/>
        </w:rPr>
        <w:t xml:space="preserve">                                                                                                                                                                                                                                                                                                                                                                                                                                                                                                                                                                                                                                                                                                                                                                                                                                                                                                                                                                                                                                                                                                                                                                                                                                                                                                                                                                                                                                                                                                                                                                                                                                                                                                                                                                                                                                                                                                                                                                                                                                                                                                                                                                                                                                                                                                                                                                                                                                                                                                                                                                                                                                                                                                                                                                                                                                                                                                                                                                                                                                                                                                                                                                                                                                                                                                                                                                                                                                                                                                                                                                                                                                                                                                                                                                                                                                                                                                                                                                                                                                                                                                                                                                                                                                                                                                                                                                                                                                                                                                                                                                                                                                                                                                                                                                                                                                                                                                                                                                                                                                                                                                                                                                                                                                                                                                                                                                                                                                                                                                                                                                                                                                                                                                                                                                                                                                                                                                                                                                                                                                                                                                                                                                                                                                                                                                                                                                 </w:t>
      </w:r>
    </w:p>
    <w:p w14:paraId="160CA64A" w14:textId="77777777" w:rsidR="00B55CC2" w:rsidRDefault="00CA3A6D">
      <w:pPr>
        <w:spacing w:beforeLines="25" w:before="78" w:afterLines="25" w:after="78" w:line="360" w:lineRule="auto"/>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sz w:val="30"/>
          <w:szCs w:val="30"/>
        </w:rPr>
        <w:t>3、</w:t>
      </w:r>
      <w:r>
        <w:rPr>
          <w:rStyle w:val="NormalCharacter"/>
          <w:rFonts w:ascii="仿宋_GB2312" w:eastAsia="仿宋_GB2312" w:hAnsi="仿宋_GB2312" w:cs="仿宋_GB2312" w:hint="eastAsia"/>
          <w:b/>
          <w:bCs/>
          <w:sz w:val="30"/>
          <w:szCs w:val="30"/>
        </w:rPr>
        <w:t>展会时间：</w:t>
      </w:r>
    </w:p>
    <w:p w14:paraId="7E541D4D"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布展时间：2024年6月18-19日</w:t>
      </w:r>
    </w:p>
    <w:p w14:paraId="7BF50A8E"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 xml:space="preserve">    展期时间：2024年6月20-22日</w:t>
      </w:r>
    </w:p>
    <w:p w14:paraId="02A2E5E5"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 xml:space="preserve">    撤展时间：2024年6月22日</w:t>
      </w:r>
    </w:p>
    <w:p w14:paraId="3E5A42DB"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4、</w:t>
      </w:r>
      <w:r>
        <w:rPr>
          <w:rStyle w:val="NormalCharacter"/>
          <w:rFonts w:ascii="仿宋_GB2312" w:eastAsia="仿宋_GB2312" w:hAnsi="仿宋_GB2312" w:cs="仿宋_GB2312" w:hint="eastAsia"/>
          <w:b/>
          <w:bCs/>
          <w:sz w:val="30"/>
          <w:szCs w:val="30"/>
        </w:rPr>
        <w:t>展会地点：</w:t>
      </w:r>
      <w:r>
        <w:rPr>
          <w:rStyle w:val="NormalCharacter"/>
          <w:rFonts w:ascii="仿宋_GB2312" w:eastAsia="仿宋_GB2312" w:hAnsi="仿宋_GB2312" w:cs="仿宋_GB2312" w:hint="eastAsia"/>
          <w:sz w:val="30"/>
          <w:szCs w:val="30"/>
        </w:rPr>
        <w:t>石家庄国际会展中心8号馆</w:t>
      </w:r>
    </w:p>
    <w:p w14:paraId="27C39C09"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lastRenderedPageBreak/>
        <w:t>5、</w:t>
      </w:r>
      <w:r>
        <w:rPr>
          <w:rStyle w:val="NormalCharacter"/>
          <w:rFonts w:ascii="仿宋_GB2312" w:eastAsia="仿宋_GB2312" w:hAnsi="仿宋_GB2312" w:cs="仿宋_GB2312" w:hint="eastAsia"/>
          <w:b/>
          <w:bCs/>
          <w:sz w:val="30"/>
          <w:szCs w:val="30"/>
        </w:rPr>
        <w:t>展会规模：</w:t>
      </w:r>
      <w:r>
        <w:rPr>
          <w:rStyle w:val="NormalCharacter"/>
          <w:rFonts w:ascii="仿宋_GB2312" w:eastAsia="仿宋_GB2312" w:hAnsi="仿宋_GB2312" w:cs="仿宋_GB2312" w:hint="eastAsia"/>
          <w:sz w:val="30"/>
          <w:szCs w:val="30"/>
        </w:rPr>
        <w:t>15000平，参展企业200家，专业观众20000人次</w:t>
      </w:r>
    </w:p>
    <w:p w14:paraId="1645D2E6"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三、活动目标</w:t>
      </w:r>
    </w:p>
    <w:p w14:paraId="0FB87BED"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推动安全应急产业发展</w:t>
      </w:r>
    </w:p>
    <w:p w14:paraId="3376F9AE"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致力于引进和应用先进的安全应急产业智能化工具,</w:t>
      </w:r>
      <w:r>
        <w:rPr>
          <w:rStyle w:val="NormalCharacter"/>
          <w:rFonts w:ascii="仿宋_GB2312" w:eastAsia="仿宋_GB2312" w:hAnsi="仿宋_GB2312" w:cs="仿宋_GB2312" w:hint="eastAsia"/>
          <w:sz w:val="30"/>
          <w:szCs w:val="30"/>
          <w:lang w:val="zh-TW"/>
        </w:rPr>
        <w:t>分享先进</w:t>
      </w:r>
      <w:r>
        <w:rPr>
          <w:rStyle w:val="NormalCharacter"/>
          <w:rFonts w:ascii="仿宋_GB2312" w:eastAsia="仿宋_GB2312" w:hAnsi="仿宋_GB2312" w:cs="仿宋_GB2312" w:hint="eastAsia"/>
          <w:sz w:val="30"/>
          <w:szCs w:val="30"/>
        </w:rPr>
        <w:t>技术，推进应急产业数字化和智能化转型,</w:t>
      </w:r>
      <w:r>
        <w:rPr>
          <w:rStyle w:val="NormalCharacter"/>
          <w:rFonts w:ascii="仿宋_GB2312" w:eastAsia="仿宋_GB2312" w:hAnsi="仿宋_GB2312" w:cs="仿宋_GB2312" w:hint="eastAsia"/>
          <w:sz w:val="30"/>
          <w:szCs w:val="30"/>
          <w:lang w:val="zh-TW"/>
        </w:rPr>
        <w:t>探索</w:t>
      </w:r>
      <w:r>
        <w:rPr>
          <w:rStyle w:val="NormalCharacter"/>
          <w:rFonts w:ascii="仿宋_GB2312" w:eastAsia="仿宋_GB2312" w:hAnsi="仿宋_GB2312" w:cs="仿宋_GB2312" w:hint="eastAsia"/>
          <w:sz w:val="30"/>
          <w:szCs w:val="30"/>
        </w:rPr>
        <w:t>产业发展</w:t>
      </w:r>
      <w:r>
        <w:rPr>
          <w:rStyle w:val="NormalCharacter"/>
          <w:rFonts w:ascii="仿宋_GB2312" w:eastAsia="仿宋_GB2312" w:hAnsi="仿宋_GB2312" w:cs="仿宋_GB2312" w:hint="eastAsia"/>
          <w:sz w:val="30"/>
          <w:szCs w:val="30"/>
          <w:lang w:val="zh-TW" w:eastAsia="zh-TW"/>
        </w:rPr>
        <w:t>与</w:t>
      </w:r>
      <w:r>
        <w:rPr>
          <w:rStyle w:val="NormalCharacter"/>
          <w:rFonts w:ascii="仿宋_GB2312" w:eastAsia="仿宋_GB2312" w:hAnsi="仿宋_GB2312" w:cs="仿宋_GB2312" w:hint="eastAsia"/>
          <w:sz w:val="30"/>
          <w:szCs w:val="30"/>
        </w:rPr>
        <w:t>市场需求</w:t>
      </w:r>
      <w:r>
        <w:rPr>
          <w:rStyle w:val="NormalCharacter"/>
          <w:rFonts w:ascii="仿宋_GB2312" w:eastAsia="仿宋_GB2312" w:hAnsi="仿宋_GB2312" w:cs="仿宋_GB2312" w:hint="eastAsia"/>
          <w:sz w:val="30"/>
          <w:szCs w:val="30"/>
          <w:lang w:val="zh-TW" w:eastAsia="zh-TW"/>
        </w:rPr>
        <w:t>融合发展</w:t>
      </w:r>
      <w:r>
        <w:rPr>
          <w:rStyle w:val="NormalCharacter"/>
          <w:rFonts w:ascii="仿宋_GB2312" w:eastAsia="仿宋_GB2312" w:hAnsi="仿宋_GB2312" w:cs="仿宋_GB2312" w:hint="eastAsia"/>
          <w:sz w:val="30"/>
          <w:szCs w:val="30"/>
          <w:lang w:val="zh-TW"/>
        </w:rPr>
        <w:t>路径，推动我省应急产业向高精尖方向发展，</w:t>
      </w:r>
      <w:r>
        <w:rPr>
          <w:rStyle w:val="NormalCharacter"/>
          <w:rFonts w:ascii="仿宋_GB2312" w:eastAsia="仿宋_GB2312" w:hAnsi="仿宋_GB2312" w:cs="仿宋_GB2312" w:hint="eastAsia"/>
          <w:sz w:val="30"/>
          <w:szCs w:val="30"/>
        </w:rPr>
        <w:t>为可持续发展贡献力量。</w:t>
      </w:r>
    </w:p>
    <w:p w14:paraId="76556618"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促进应急产业的合作与交流</w:t>
      </w:r>
    </w:p>
    <w:p w14:paraId="453A9769"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打破应急产业保障支撑能力与区域应急需求不够匹配，布局分散、集聚优势不明显的限制,通过行业内企业间的合作与交流,共同推动应急产业发展与创新,</w:t>
      </w:r>
      <w:r>
        <w:rPr>
          <w:rStyle w:val="NormalCharacter"/>
          <w:rFonts w:ascii="仿宋_GB2312" w:eastAsia="仿宋_GB2312" w:hAnsi="仿宋_GB2312" w:cs="仿宋_GB2312" w:hint="eastAsia"/>
          <w:sz w:val="30"/>
          <w:szCs w:val="30"/>
          <w:lang w:val="zh-TW"/>
        </w:rPr>
        <w:t>加快</w:t>
      </w:r>
      <w:r>
        <w:rPr>
          <w:rStyle w:val="NormalCharacter"/>
          <w:rFonts w:ascii="仿宋_GB2312" w:eastAsia="仿宋_GB2312" w:hAnsi="仿宋_GB2312" w:cs="仿宋_GB2312" w:hint="eastAsia"/>
          <w:sz w:val="30"/>
          <w:szCs w:val="30"/>
        </w:rPr>
        <w:t>京津</w:t>
      </w:r>
      <w:proofErr w:type="gramStart"/>
      <w:r>
        <w:rPr>
          <w:rStyle w:val="NormalCharacter"/>
          <w:rFonts w:ascii="仿宋_GB2312" w:eastAsia="仿宋_GB2312" w:hAnsi="仿宋_GB2312" w:cs="仿宋_GB2312" w:hint="eastAsia"/>
          <w:sz w:val="30"/>
          <w:szCs w:val="30"/>
        </w:rPr>
        <w:t>冀区域</w:t>
      </w:r>
      <w:proofErr w:type="gramEnd"/>
      <w:r>
        <w:rPr>
          <w:rStyle w:val="NormalCharacter"/>
          <w:rFonts w:ascii="仿宋_GB2312" w:eastAsia="仿宋_GB2312" w:hAnsi="仿宋_GB2312" w:cs="仿宋_GB2312" w:hint="eastAsia"/>
          <w:sz w:val="30"/>
          <w:szCs w:val="30"/>
          <w:lang w:val="zh-TW"/>
        </w:rPr>
        <w:t>应急产业集聚发展，</w:t>
      </w:r>
      <w:r>
        <w:rPr>
          <w:rStyle w:val="NormalCharacter"/>
          <w:rFonts w:ascii="仿宋_GB2312" w:eastAsia="仿宋_GB2312" w:hAnsi="仿宋_GB2312" w:cs="仿宋_GB2312" w:hint="eastAsia"/>
          <w:sz w:val="30"/>
          <w:szCs w:val="30"/>
        </w:rPr>
        <w:t>推动产业链的协同发展。</w:t>
      </w:r>
    </w:p>
    <w:p w14:paraId="73CF782D"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打造行业内领先的展示平台</w:t>
      </w:r>
    </w:p>
    <w:p w14:paraId="794238CD" w14:textId="77777777" w:rsidR="00B55CC2" w:rsidRDefault="00CA3A6D">
      <w:pPr>
        <w:spacing w:beforeLines="25" w:before="78" w:afterLines="25" w:after="78" w:line="360" w:lineRule="auto"/>
        <w:ind w:leftChars="-95" w:left="-199"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通过举办展览、技术研讨会和论坛等活动,集聚行业内最新的应急产业成果，为行业专业人士和企业提供学习、交流与合作的优质平台,促进行业的创新与发展，构建安全应急产业发展新生态。</w:t>
      </w:r>
    </w:p>
    <w:p w14:paraId="7C8A0462"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四、展览活动</w:t>
      </w:r>
    </w:p>
    <w:p w14:paraId="55D723CE"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（一）展区规划</w:t>
      </w:r>
    </w:p>
    <w:p w14:paraId="39856795" w14:textId="77777777" w:rsidR="00B55CC2" w:rsidRDefault="00CA3A6D">
      <w:pPr>
        <w:spacing w:beforeLines="50" w:before="156" w:afterLines="50" w:after="156" w:line="360" w:lineRule="auto"/>
        <w:ind w:firstLineChars="200" w:firstLine="600"/>
        <w:jc w:val="left"/>
        <w:rP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应急成果主题展区：</w:t>
      </w:r>
      <w:r>
        <w:rPr>
          <w:rStyle w:val="NormalCharacter"/>
          <w:rFonts w:ascii="仿宋_GB2312" w:eastAsia="仿宋_GB2312" w:hAnsi="仿宋_GB2312" w:cs="仿宋_GB2312" w:hint="eastAsia"/>
          <w:sz w:val="30"/>
          <w:szCs w:val="30"/>
        </w:rPr>
        <w:t>展现国家级应急产业示范基地，省级示范产业基地以及特色产业集群的建设成果和未来规划。突出</w:t>
      </w:r>
      <w:r>
        <w:rPr>
          <w:rStyle w:val="NormalCharacter"/>
          <w:rFonts w:ascii="仿宋_GB2312" w:eastAsia="仿宋_GB2312" w:hAnsi="仿宋_GB2312" w:cs="仿宋_GB2312" w:hint="eastAsia"/>
          <w:sz w:val="30"/>
          <w:szCs w:val="30"/>
        </w:rPr>
        <w:lastRenderedPageBreak/>
        <w:t>展现京津</w:t>
      </w:r>
      <w:proofErr w:type="gramStart"/>
      <w:r>
        <w:rPr>
          <w:rStyle w:val="NormalCharacter"/>
          <w:rFonts w:ascii="仿宋_GB2312" w:eastAsia="仿宋_GB2312" w:hAnsi="仿宋_GB2312" w:cs="仿宋_GB2312" w:hint="eastAsia"/>
          <w:sz w:val="30"/>
          <w:szCs w:val="30"/>
        </w:rPr>
        <w:t>冀人民</w:t>
      </w:r>
      <w:proofErr w:type="gramEnd"/>
      <w:r>
        <w:rPr>
          <w:rStyle w:val="NormalCharacter"/>
          <w:rFonts w:ascii="仿宋_GB2312" w:eastAsia="仿宋_GB2312" w:hAnsi="仿宋_GB2312" w:cs="仿宋_GB2312" w:hint="eastAsia"/>
          <w:sz w:val="30"/>
          <w:szCs w:val="30"/>
        </w:rPr>
        <w:t>为全国疫情、抗震救灾、防洪防涝等做出的重大贡献和应急救灾成果等。</w:t>
      </w:r>
    </w:p>
    <w:p w14:paraId="4DE39F7C" w14:textId="77777777" w:rsidR="00B55CC2" w:rsidRDefault="00CA3A6D">
      <w:pPr>
        <w:spacing w:beforeLines="50" w:before="156" w:afterLines="50" w:after="156" w:line="360" w:lineRule="auto"/>
        <w:ind w:firstLineChars="200" w:firstLine="600"/>
        <w:rP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应急监测及通讯设备展区：</w:t>
      </w:r>
      <w:r>
        <w:rPr>
          <w:rStyle w:val="NormalCharacter"/>
          <w:rFonts w:ascii="仿宋_GB2312" w:eastAsia="仿宋_GB2312" w:hAnsi="仿宋_GB2312" w:cs="仿宋_GB2312" w:hint="eastAsia"/>
          <w:sz w:val="30"/>
          <w:szCs w:val="30"/>
        </w:rPr>
        <w:t>涵盖应急指挥、应急通讯、信息共享和预判辅助决策科技产品，重点展示地震、洪水、火灾、危险品爆炸等各类突发事件监测预警系统、应急指挥平台及无人机、空间地理信息与遥感技术、应急通讯基础建设、自动化通讯设备、单兵通讯装备、数据传输等网络安全设备。</w:t>
      </w:r>
    </w:p>
    <w:p w14:paraId="306A4884" w14:textId="77777777" w:rsidR="00B55CC2" w:rsidRDefault="00CA3A6D">
      <w:pPr>
        <w:spacing w:beforeLines="50" w:before="156" w:afterLines="50" w:after="156"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公共安全及个人防护展区：</w:t>
      </w:r>
      <w:r>
        <w:rPr>
          <w:rStyle w:val="NormalCharacter"/>
          <w:rFonts w:ascii="仿宋_GB2312" w:eastAsia="仿宋_GB2312" w:hAnsi="仿宋_GB2312" w:cs="仿宋_GB2312" w:hint="eastAsia"/>
          <w:sz w:val="30"/>
          <w:szCs w:val="30"/>
        </w:rPr>
        <w:t>围绕城市公共安全防护、公众卫生防护、生态环境防护、家庭防护等领域，重点展示危险化学品安全避险产品、特殊工种防护产品；重要生态环境安全保护产品以及相关火灾防护产品等。</w:t>
      </w:r>
    </w:p>
    <w:p w14:paraId="786CBC14" w14:textId="77777777" w:rsidR="00B55CC2" w:rsidRDefault="00CA3A6D">
      <w:pPr>
        <w:spacing w:beforeLines="50" w:before="156" w:afterLines="50" w:after="156"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应急救援装备展区</w:t>
      </w:r>
      <w:r>
        <w:rPr>
          <w:rStyle w:val="NormalCharacter"/>
          <w:rFonts w:ascii="仿宋_GB2312" w:eastAsia="仿宋_GB2312" w:hAnsi="仿宋_GB2312" w:cs="仿宋_GB2312" w:hint="eastAsia"/>
          <w:sz w:val="30"/>
          <w:szCs w:val="30"/>
        </w:rPr>
        <w:t>：围绕提高突发事件处置的高效性和专业性，重点展示洪水、矿山、火灾、地震等自然灾害救援装备、应急救援探索检查设备，如消防车辆、移动发电车、移动排水车、特种挖掘设备、破拆工具等专业功能车辆以及特等抢险工程机械、安防救生设备、恢复重建设备等。</w:t>
      </w:r>
    </w:p>
    <w:p w14:paraId="7E783A15" w14:textId="77777777" w:rsidR="00B55CC2" w:rsidRDefault="00CA3A6D">
      <w:pPr>
        <w:spacing w:beforeLines="50" w:before="156" w:afterLines="50" w:after="156" w:line="600" w:lineRule="exact"/>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t>水旱防御应急技术设备展区：</w:t>
      </w:r>
      <w:r>
        <w:rPr>
          <w:rStyle w:val="NormalCharacter"/>
          <w:rFonts w:ascii="仿宋_GB2312" w:eastAsia="仿宋_GB2312" w:hAnsi="仿宋_GB2312" w:cs="仿宋_GB2312" w:hint="eastAsia"/>
          <w:sz w:val="30"/>
          <w:szCs w:val="30"/>
        </w:rPr>
        <w:t>聚焦防汛抗旱抢险等应急技术与设备，城市水安全与水管理、供水安全与保障、数字</w:t>
      </w:r>
      <w:proofErr w:type="gramStart"/>
      <w:r>
        <w:rPr>
          <w:rStyle w:val="NormalCharacter"/>
          <w:rFonts w:ascii="仿宋_GB2312" w:eastAsia="仿宋_GB2312" w:hAnsi="仿宋_GB2312" w:cs="仿宋_GB2312" w:hint="eastAsia"/>
          <w:sz w:val="30"/>
          <w:szCs w:val="30"/>
        </w:rPr>
        <w:t>孪生与</w:t>
      </w:r>
      <w:proofErr w:type="gramEnd"/>
      <w:r>
        <w:rPr>
          <w:rStyle w:val="NormalCharacter"/>
          <w:rFonts w:ascii="仿宋_GB2312" w:eastAsia="仿宋_GB2312" w:hAnsi="仿宋_GB2312" w:cs="仿宋_GB2312" w:hint="eastAsia"/>
          <w:sz w:val="30"/>
          <w:szCs w:val="30"/>
        </w:rPr>
        <w:t>智慧水利等方面，展示水利应急方向的新技术和新装备，助力京津冀水利科技和防灾救灾的高质量发展。</w:t>
      </w:r>
    </w:p>
    <w:p w14:paraId="65592A58" w14:textId="77777777" w:rsidR="00B55CC2" w:rsidRDefault="00CA3A6D">
      <w:pPr>
        <w:spacing w:beforeLines="50" w:before="156" w:afterLines="50" w:after="156" w:line="600" w:lineRule="exact"/>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b/>
          <w:bCs/>
          <w:sz w:val="30"/>
          <w:szCs w:val="30"/>
        </w:rPr>
        <w:lastRenderedPageBreak/>
        <w:t>综合应急及安全生产展区：</w:t>
      </w:r>
      <w:r>
        <w:rPr>
          <w:rStyle w:val="NormalCharacter"/>
          <w:rFonts w:ascii="仿宋_GB2312" w:eastAsia="仿宋_GB2312" w:hAnsi="仿宋_GB2312" w:cs="仿宋_GB2312" w:hint="eastAsia"/>
          <w:sz w:val="30"/>
          <w:szCs w:val="30"/>
        </w:rPr>
        <w:t>重点展示风险评估、灾害防治、消防技术等服务；应急测绘、特种救援、民间救援服务；应急物流、应急物资仓储等；安全教育培训、应急演练服务、巨灾保险等；消防演练、模拟地震体验、防火、抢救、自救演练级体验；邀请消防、地震、气象、红会、卫健等相关委办局设立公益科普展示教育。</w:t>
      </w:r>
    </w:p>
    <w:p w14:paraId="28BA4F68"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（二）展位价格</w:t>
      </w:r>
    </w:p>
    <w:p w14:paraId="0E850FAB"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1、标准展位：(3m×3m)：6000元/</w:t>
      </w:r>
      <w:proofErr w:type="gramStart"/>
      <w:r>
        <w:rPr>
          <w:rStyle w:val="NormalCharacter"/>
          <w:rFonts w:ascii="仿宋_GB2312" w:eastAsia="仿宋_GB2312" w:hAnsi="仿宋_GB2312" w:cs="仿宋_GB2312" w:hint="eastAsia"/>
          <w:sz w:val="30"/>
          <w:szCs w:val="30"/>
        </w:rPr>
        <w:t>个</w:t>
      </w:r>
      <w:proofErr w:type="gramEnd"/>
      <w:r>
        <w:rPr>
          <w:rStyle w:val="NormalCharacter"/>
          <w:rFonts w:ascii="仿宋_GB2312" w:eastAsia="仿宋_GB2312" w:hAnsi="仿宋_GB2312" w:cs="仿宋_GB2312" w:hint="eastAsia"/>
          <w:sz w:val="30"/>
          <w:szCs w:val="30"/>
        </w:rPr>
        <w:t>，双开口展位加收10%。</w:t>
      </w:r>
    </w:p>
    <w:p w14:paraId="21B6C028"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 xml:space="preserve">配置：展出场地9㎡、白色展板（高度 2.5 米）、中英文楣板、2 盏射灯、1 </w:t>
      </w:r>
      <w:proofErr w:type="gramStart"/>
      <w:r>
        <w:rPr>
          <w:rStyle w:val="NormalCharacter"/>
          <w:rFonts w:ascii="仿宋_GB2312" w:eastAsia="仿宋_GB2312" w:hAnsi="仿宋_GB2312" w:cs="仿宋_GB2312" w:hint="eastAsia"/>
          <w:sz w:val="30"/>
          <w:szCs w:val="30"/>
        </w:rPr>
        <w:t>张咨询桌</w:t>
      </w:r>
      <w:proofErr w:type="gramEnd"/>
      <w:r>
        <w:rPr>
          <w:rStyle w:val="NormalCharacter"/>
          <w:rFonts w:ascii="仿宋_GB2312" w:eastAsia="仿宋_GB2312" w:hAnsi="仿宋_GB2312" w:cs="仿宋_GB2312" w:hint="eastAsia"/>
          <w:sz w:val="30"/>
          <w:szCs w:val="30"/>
        </w:rPr>
        <w:t>、2张折椅及 1 只电源插座（220V5A）</w:t>
      </w:r>
    </w:p>
    <w:p w14:paraId="7AF6785F" w14:textId="77777777" w:rsidR="00B55CC2" w:rsidRDefault="00CA3A6D">
      <w:pPr>
        <w:spacing w:beforeLines="25" w:before="78" w:afterLines="25" w:after="78" w:line="360" w:lineRule="auto"/>
        <w:rPr>
          <w:rStyle w:val="NormalCharacter"/>
          <w:rFonts w:ascii="仿宋_GB2312" w:eastAsia="仿宋_GB2312" w:hAnsi="仿宋_GB2312" w:cs="仿宋_GB2312"/>
          <w:b/>
          <w:bCs/>
          <w:sz w:val="30"/>
          <w:szCs w:val="30"/>
        </w:rPr>
      </w:pPr>
      <w:bookmarkStart w:id="0" w:name="OLE_LINK11"/>
      <w:bookmarkEnd w:id="0"/>
      <w:r>
        <w:rPr>
          <w:rStyle w:val="NormalCharacter"/>
          <w:rFonts w:ascii="仿宋_GB2312" w:eastAsia="仿宋_GB2312" w:hAnsi="仿宋_GB2312" w:cs="仿宋_GB2312" w:hint="eastAsia"/>
          <w:sz w:val="30"/>
          <w:szCs w:val="30"/>
        </w:rPr>
        <w:t>2、室内空地：600元/㎡，36㎡起租。</w:t>
      </w:r>
    </w:p>
    <w:p w14:paraId="5C74DD68"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kern w:val="0"/>
          <w:sz w:val="30"/>
          <w:szCs w:val="30"/>
        </w:rPr>
      </w:pPr>
      <w:r>
        <w:rPr>
          <w:rStyle w:val="NormalCharacter"/>
          <w:rFonts w:ascii="仿宋_GB2312" w:eastAsia="仿宋_GB2312" w:hAnsi="仿宋_GB2312" w:cs="仿宋_GB2312" w:hint="eastAsia"/>
          <w:b/>
          <w:bCs/>
          <w:kern w:val="0"/>
          <w:sz w:val="30"/>
          <w:szCs w:val="30"/>
        </w:rPr>
        <w:t>五、主题论坛</w:t>
      </w:r>
    </w:p>
    <w:p w14:paraId="0A5EB33B"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1、安全应急技术创新与产业发展峰会</w:t>
      </w:r>
    </w:p>
    <w:p w14:paraId="6E0E86BE"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2、京津</w:t>
      </w:r>
      <w:proofErr w:type="gramStart"/>
      <w:r>
        <w:rPr>
          <w:rStyle w:val="NormalCharacter"/>
          <w:rFonts w:ascii="仿宋_GB2312" w:eastAsia="仿宋_GB2312" w:hAnsi="仿宋_GB2312" w:cs="仿宋_GB2312" w:hint="eastAsia"/>
          <w:sz w:val="30"/>
          <w:szCs w:val="30"/>
        </w:rPr>
        <w:t>冀安全</w:t>
      </w:r>
      <w:proofErr w:type="gramEnd"/>
      <w:r>
        <w:rPr>
          <w:rStyle w:val="NormalCharacter"/>
          <w:rFonts w:ascii="仿宋_GB2312" w:eastAsia="仿宋_GB2312" w:hAnsi="仿宋_GB2312" w:cs="仿宋_GB2312" w:hint="eastAsia"/>
          <w:sz w:val="30"/>
          <w:szCs w:val="30"/>
        </w:rPr>
        <w:t>应急产业创新发展论坛</w:t>
      </w:r>
    </w:p>
    <w:p w14:paraId="3E541C96"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3、第二届新时代安全应急创新论坛</w:t>
      </w:r>
    </w:p>
    <w:p w14:paraId="3BD9802F"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4、2024安全应急装备新品发布会</w:t>
      </w:r>
    </w:p>
    <w:p w14:paraId="22174ED0"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5、京津冀水旱灾害防御与应急管理技术论坛</w:t>
      </w:r>
    </w:p>
    <w:p w14:paraId="73373CD4"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6、大空间应急救援灭火实战演练</w:t>
      </w:r>
    </w:p>
    <w:p w14:paraId="292584DB"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7、城市内洪涝排水演示</w:t>
      </w:r>
    </w:p>
    <w:p w14:paraId="1F669882" w14:textId="77777777" w:rsidR="00B55CC2" w:rsidRDefault="00CA3A6D">
      <w:pPr>
        <w:spacing w:beforeLines="25" w:before="78" w:afterLines="25" w:after="78" w:line="360" w:lineRule="auto"/>
        <w:ind w:leftChars="-95" w:left="-199"/>
        <w:rPr>
          <w:rStyle w:val="NormalCharacter"/>
          <w:rFonts w:ascii="仿宋_GB2312" w:eastAsia="仿宋_GB2312" w:hAnsi="仿宋_GB2312" w:cs="仿宋_GB2312"/>
          <w:b/>
          <w:bCs/>
          <w:kern w:val="0"/>
          <w:sz w:val="30"/>
          <w:szCs w:val="30"/>
        </w:rPr>
      </w:pPr>
      <w:r>
        <w:rPr>
          <w:rStyle w:val="NormalCharacter"/>
          <w:rFonts w:ascii="仿宋_GB2312" w:eastAsia="仿宋_GB2312" w:hAnsi="仿宋_GB2312" w:cs="仿宋_GB2312" w:hint="eastAsia"/>
          <w:b/>
          <w:bCs/>
          <w:kern w:val="0"/>
          <w:sz w:val="30"/>
          <w:szCs w:val="30"/>
        </w:rPr>
        <w:lastRenderedPageBreak/>
        <w:t>六、观众组织</w:t>
      </w:r>
    </w:p>
    <w:p w14:paraId="3DF569A0"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1、涉及安全的政府职能部门：应急管理厅、消防救援、</w:t>
      </w:r>
      <w:proofErr w:type="gramStart"/>
      <w:r>
        <w:rPr>
          <w:rStyle w:val="NormalCharacter"/>
          <w:rFonts w:ascii="仿宋_GB2312" w:eastAsia="仿宋_GB2312" w:hAnsi="仿宋_GB2312" w:cs="仿宋_GB2312" w:hint="eastAsia"/>
          <w:sz w:val="30"/>
          <w:szCs w:val="30"/>
        </w:rPr>
        <w:t>发改委</w:t>
      </w:r>
      <w:proofErr w:type="gramEnd"/>
      <w:r>
        <w:rPr>
          <w:rStyle w:val="NormalCharacter"/>
          <w:rFonts w:ascii="仿宋_GB2312" w:eastAsia="仿宋_GB2312" w:hAnsi="仿宋_GB2312" w:cs="仿宋_GB2312" w:hint="eastAsia"/>
          <w:sz w:val="30"/>
          <w:szCs w:val="30"/>
        </w:rPr>
        <w:t>、公安、民防、煤监、国土、气象、地震、水利、海事、农业、卫健、经信、交通、住建、教委、政府决策支持机构、各地安全生产、危化品园区管委会等相关政府部门的采购部门。</w:t>
      </w:r>
    </w:p>
    <w:p w14:paraId="0AE1F406"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2.企事业单位：科研院所、学校、医院、车站、救援机构、社区、仓储、物流等安全管理等单位。</w:t>
      </w:r>
    </w:p>
    <w:p w14:paraId="195B35F1"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3.科研服务：安全应急领域的专家、学者、政府咨询研究机构、政府购买服务对象、第三方检测认证、救援团体等。</w:t>
      </w:r>
    </w:p>
    <w:p w14:paraId="5B311506"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4.重要单位、重要设施运营的安全管理和装备采购部门等。</w:t>
      </w:r>
    </w:p>
    <w:p w14:paraId="0500630C"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5.</w:t>
      </w:r>
      <w:proofErr w:type="gramStart"/>
      <w:r>
        <w:rPr>
          <w:rStyle w:val="NormalCharacter"/>
          <w:rFonts w:ascii="仿宋_GB2312" w:eastAsia="仿宋_GB2312" w:hAnsi="仿宋_GB2312" w:cs="仿宋_GB2312" w:hint="eastAsia"/>
          <w:sz w:val="30"/>
          <w:szCs w:val="30"/>
        </w:rPr>
        <w:t>央企和</w:t>
      </w:r>
      <w:proofErr w:type="gramEnd"/>
      <w:r>
        <w:rPr>
          <w:rStyle w:val="NormalCharacter"/>
          <w:rFonts w:ascii="仿宋_GB2312" w:eastAsia="仿宋_GB2312" w:hAnsi="仿宋_GB2312" w:cs="仿宋_GB2312" w:hint="eastAsia"/>
          <w:sz w:val="30"/>
          <w:szCs w:val="30"/>
        </w:rPr>
        <w:t>国有企业：中建、中化工、中石油、中海油、中船、中核、国网、 电科、航天、航空等。</w:t>
      </w:r>
    </w:p>
    <w:p w14:paraId="7AE46AFE"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6.重点行业企业：石煤机、秦山核电、绿地、光明、超威、太平洋建设、南通建工、江苏舜天、发电机厂等安全应急企业 。</w:t>
      </w:r>
    </w:p>
    <w:p w14:paraId="27E995D9"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7.贸易代理商：国内外代理商、贸易商等。</w:t>
      </w:r>
    </w:p>
    <w:p w14:paraId="47267E2C" w14:textId="77777777" w:rsidR="00B55CC2" w:rsidRDefault="00CA3A6D">
      <w:pPr>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8.其他：安全应急方向投融资机构、风险评估、媒体、培训、社会公益机构等管理人员。</w:t>
      </w:r>
    </w:p>
    <w:p w14:paraId="2AC33DBF" w14:textId="77777777" w:rsidR="00B55CC2" w:rsidRDefault="00CA3A6D">
      <w:pPr>
        <w:spacing w:beforeLines="25" w:before="78" w:afterLines="25" w:after="78" w:line="360" w:lineRule="auto"/>
        <w:ind w:left="-20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hint="eastAsia"/>
          <w:b/>
          <w:bCs/>
          <w:sz w:val="30"/>
          <w:szCs w:val="30"/>
        </w:rPr>
        <w:t>七、宣传推广</w:t>
      </w:r>
    </w:p>
    <w:p w14:paraId="1F24811C" w14:textId="77777777" w:rsidR="00B55CC2" w:rsidRDefault="00CA3A6D">
      <w:pPr>
        <w:widowControl w:val="0"/>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1、行业机构推广</w:t>
      </w:r>
    </w:p>
    <w:p w14:paraId="5679D5E7" w14:textId="77777777" w:rsidR="00B55CC2" w:rsidRDefault="00CA3A6D">
      <w:pPr>
        <w:spacing w:beforeLines="25" w:before="78" w:afterLines="25" w:after="78" w:line="360" w:lineRule="auto"/>
        <w:ind w:firstLineChars="200" w:firstLine="600"/>
        <w:rP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联合行业协会、省内及周边</w:t>
      </w:r>
      <w:proofErr w:type="gramStart"/>
      <w:r>
        <w:rPr>
          <w:rStyle w:val="NormalCharacter"/>
          <w:rFonts w:ascii="仿宋_GB2312" w:eastAsia="仿宋_GB2312" w:hAnsi="仿宋_GB2312" w:cs="仿宋_GB2312" w:hint="eastAsia"/>
          <w:sz w:val="30"/>
          <w:szCs w:val="30"/>
        </w:rPr>
        <w:t>省市工</w:t>
      </w:r>
      <w:proofErr w:type="gramEnd"/>
      <w:r>
        <w:rPr>
          <w:rStyle w:val="NormalCharacter"/>
          <w:rFonts w:ascii="仿宋_GB2312" w:eastAsia="仿宋_GB2312" w:hAnsi="仿宋_GB2312" w:cs="仿宋_GB2312" w:hint="eastAsia"/>
          <w:sz w:val="30"/>
          <w:szCs w:val="30"/>
        </w:rPr>
        <w:t>信、应急、地震、消防等应急相关管理部门、整合行业资源，扩大展会影响力。</w:t>
      </w:r>
    </w:p>
    <w:p w14:paraId="1B0FEABE" w14:textId="77777777" w:rsidR="00B55CC2" w:rsidRDefault="00CA3A6D">
      <w:pPr>
        <w:widowControl w:val="0"/>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lastRenderedPageBreak/>
        <w:t>2、产业市场推广</w:t>
      </w:r>
    </w:p>
    <w:p w14:paraId="4CAD3D1C"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组建专业推广团队，面向北京、天津、河南、长三角、大湾区等产业集群、龙头企业、经销商等，以发送邮件、面对面邀约等形式派发展会邀请函。</w:t>
      </w:r>
    </w:p>
    <w:p w14:paraId="2D0E3CF4" w14:textId="77777777" w:rsidR="00B55CC2" w:rsidRDefault="00CA3A6D">
      <w:pPr>
        <w:widowControl w:val="0"/>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3、全媒体推广</w:t>
      </w:r>
    </w:p>
    <w:p w14:paraId="1645380E" w14:textId="77777777" w:rsidR="00B55CC2" w:rsidRDefault="00CA3A6D">
      <w:pPr>
        <w:widowControl w:val="0"/>
        <w:spacing w:beforeLines="25" w:before="78" w:afterLines="25" w:after="78" w:line="360" w:lineRule="auto"/>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 xml:space="preserve">   建立国家级、省市级、行业、自媒体四类媒体矩阵，实现政府党政平台、行业媒体资源、专业采购团体及普通观众的全覆盖。</w:t>
      </w:r>
    </w:p>
    <w:p w14:paraId="78843BA3"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（1）</w:t>
      </w:r>
      <w:proofErr w:type="gramStart"/>
      <w:r>
        <w:rPr>
          <w:rStyle w:val="NormalCharacter"/>
          <w:rFonts w:ascii="仿宋_GB2312" w:eastAsia="仿宋_GB2312" w:hAnsi="仿宋_GB2312" w:cs="仿宋_GB2312" w:hint="eastAsia"/>
          <w:sz w:val="30"/>
          <w:szCs w:val="30"/>
        </w:rPr>
        <w:t>搭建全</w:t>
      </w:r>
      <w:proofErr w:type="gramEnd"/>
      <w:r>
        <w:rPr>
          <w:rStyle w:val="NormalCharacter"/>
          <w:rFonts w:ascii="仿宋_GB2312" w:eastAsia="仿宋_GB2312" w:hAnsi="仿宋_GB2312" w:cs="仿宋_GB2312" w:hint="eastAsia"/>
          <w:sz w:val="30"/>
          <w:szCs w:val="30"/>
        </w:rPr>
        <w:t>媒体推广渠道，通过新华网、人民日报、央视网、省广电、省市级日报、晚报、长城网、冀时等官方媒体宣传报道。</w:t>
      </w:r>
    </w:p>
    <w:p w14:paraId="03F0D228"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（2）通过抖音、快手、</w:t>
      </w:r>
      <w:proofErr w:type="gramStart"/>
      <w:r>
        <w:rPr>
          <w:rStyle w:val="NormalCharacter"/>
          <w:rFonts w:ascii="仿宋_GB2312" w:eastAsia="仿宋_GB2312" w:hAnsi="仿宋_GB2312" w:cs="仿宋_GB2312" w:hint="eastAsia"/>
          <w:sz w:val="30"/>
          <w:szCs w:val="30"/>
        </w:rPr>
        <w:t>腾讯网</w:t>
      </w:r>
      <w:proofErr w:type="gramEnd"/>
      <w:r>
        <w:rPr>
          <w:rStyle w:val="NormalCharacter"/>
          <w:rFonts w:ascii="仿宋_GB2312" w:eastAsia="仿宋_GB2312" w:hAnsi="仿宋_GB2312" w:cs="仿宋_GB2312" w:hint="eastAsia"/>
          <w:sz w:val="30"/>
          <w:szCs w:val="30"/>
        </w:rPr>
        <w:t>、中国日报网、百度、搜狐、今日头条、</w:t>
      </w:r>
      <w:proofErr w:type="gramStart"/>
      <w:r>
        <w:rPr>
          <w:rStyle w:val="NormalCharacter"/>
          <w:rFonts w:ascii="仿宋_GB2312" w:eastAsia="仿宋_GB2312" w:hAnsi="仿宋_GB2312" w:cs="仿宋_GB2312" w:hint="eastAsia"/>
          <w:sz w:val="30"/>
          <w:szCs w:val="30"/>
        </w:rPr>
        <w:t>凤凰网</w:t>
      </w:r>
      <w:proofErr w:type="gramEnd"/>
      <w:r>
        <w:rPr>
          <w:rStyle w:val="NormalCharacter"/>
          <w:rFonts w:ascii="仿宋_GB2312" w:eastAsia="仿宋_GB2312" w:hAnsi="仿宋_GB2312" w:cs="仿宋_GB2312" w:hint="eastAsia"/>
          <w:sz w:val="30"/>
          <w:szCs w:val="30"/>
        </w:rPr>
        <w:t>等大众媒体全面发散展会信息。</w:t>
      </w:r>
    </w:p>
    <w:p w14:paraId="48BAF869" w14:textId="77777777" w:rsidR="00B55CC2" w:rsidRDefault="00CA3A6D">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（3）通过中国应急信息网、慧聪消防网、特种装备网、应安网、消防百事通、公共安全装备网等专业媒体精准辐射业内人群。</w:t>
      </w:r>
    </w:p>
    <w:p w14:paraId="47D8B09B" w14:textId="77777777" w:rsidR="00B55CC2" w:rsidRDefault="00CA3A6D">
      <w:pPr>
        <w:widowControl w:val="0"/>
        <w:spacing w:beforeLines="25" w:before="78" w:afterLines="25" w:after="78" w:line="360" w:lineRule="auto"/>
        <w:ind w:firstLineChars="200" w:firstLine="600"/>
        <w:rPr>
          <w:rFonts w:ascii="仿宋_GB2312" w:eastAsia="仿宋_GB2312" w:hAnsi="仿宋_GB2312" w:cs="仿宋_GB2312"/>
          <w:sz w:val="30"/>
          <w:szCs w:val="30"/>
        </w:rPr>
      </w:pPr>
      <w:r>
        <w:rPr>
          <w:rStyle w:val="NormalCharacter"/>
          <w:rFonts w:ascii="仿宋_GB2312" w:eastAsia="仿宋_GB2312" w:hAnsi="仿宋_GB2312" w:cs="仿宋_GB2312" w:hint="eastAsia"/>
          <w:sz w:val="30"/>
          <w:szCs w:val="30"/>
        </w:rPr>
        <w:t>（4）依托应急展官方网站、公众号、</w:t>
      </w:r>
      <w:proofErr w:type="gramStart"/>
      <w:r>
        <w:rPr>
          <w:rStyle w:val="NormalCharacter"/>
          <w:rFonts w:ascii="仿宋_GB2312" w:eastAsia="仿宋_GB2312" w:hAnsi="仿宋_GB2312" w:cs="仿宋_GB2312" w:hint="eastAsia"/>
          <w:sz w:val="30"/>
          <w:szCs w:val="30"/>
        </w:rPr>
        <w:t>微信小</w:t>
      </w:r>
      <w:proofErr w:type="gramEnd"/>
      <w:r>
        <w:rPr>
          <w:rStyle w:val="NormalCharacter"/>
          <w:rFonts w:ascii="仿宋_GB2312" w:eastAsia="仿宋_GB2312" w:hAnsi="仿宋_GB2312" w:cs="仿宋_GB2312" w:hint="eastAsia"/>
          <w:sz w:val="30"/>
          <w:szCs w:val="30"/>
        </w:rPr>
        <w:t>程序等自媒体平台，打造自主引流渠道，塑造展会品牌认知度。</w:t>
      </w:r>
    </w:p>
    <w:p w14:paraId="5EFC09B1" w14:textId="77777777" w:rsidR="00B55CC2" w:rsidRDefault="00B55CC2">
      <w:pPr>
        <w:spacing w:beforeLines="25" w:before="78" w:afterLines="25" w:after="78" w:line="360" w:lineRule="auto"/>
        <w:rPr>
          <w:rStyle w:val="NormalCharacter"/>
          <w:rFonts w:ascii="仿宋_GB2312" w:eastAsia="仿宋_GB2312" w:hAnsi="仿宋_GB2312" w:cs="仿宋_GB2312"/>
          <w:sz w:val="30"/>
          <w:szCs w:val="30"/>
        </w:rPr>
      </w:pPr>
    </w:p>
    <w:p w14:paraId="060CADE9" w14:textId="77777777" w:rsidR="00B55CC2" w:rsidRDefault="00B55CC2">
      <w:pPr>
        <w:spacing w:beforeLines="25" w:before="78" w:afterLines="25" w:after="78" w:line="360" w:lineRule="auto"/>
        <w:ind w:firstLineChars="200" w:firstLine="600"/>
        <w:rPr>
          <w:rStyle w:val="NormalCharacter"/>
          <w:rFonts w:ascii="仿宋_GB2312" w:eastAsia="仿宋_GB2312" w:hAnsi="仿宋_GB2312" w:cs="仿宋_GB2312"/>
          <w:sz w:val="30"/>
          <w:szCs w:val="30"/>
        </w:rPr>
      </w:pPr>
    </w:p>
    <w:p w14:paraId="2F78789F" w14:textId="77777777" w:rsidR="00B55CC2" w:rsidRDefault="00B55CC2">
      <w:pPr>
        <w:pStyle w:val="HtmlNormal"/>
        <w:pBdr>
          <w:right w:val="single" w:sz="2" w:space="0" w:color="FFFFFF"/>
        </w:pBdr>
        <w:shd w:val="clear" w:color="auto" w:fill="FFFFFF"/>
        <w:spacing w:beforeLines="50" w:before="156" w:beforeAutospacing="0" w:afterLines="50" w:after="156" w:afterAutospacing="0" w:line="360" w:lineRule="auto"/>
        <w:ind w:firstLine="482"/>
        <w:jc w:val="right"/>
        <w:rPr>
          <w:rStyle w:val="NormalCharacter"/>
          <w:rFonts w:ascii="仿宋_GB2312" w:eastAsia="仿宋_GB2312" w:hAnsi="仿宋_GB2312" w:cs="仿宋_GB2312"/>
          <w:kern w:val="2"/>
          <w:sz w:val="30"/>
          <w:szCs w:val="30"/>
        </w:rPr>
      </w:pPr>
    </w:p>
    <w:sectPr w:rsidR="00B55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9FD3" w14:textId="77777777" w:rsidR="00AB049C" w:rsidRDefault="00AB049C" w:rsidP="00FA6582">
      <w:r>
        <w:separator/>
      </w:r>
    </w:p>
  </w:endnote>
  <w:endnote w:type="continuationSeparator" w:id="0">
    <w:p w14:paraId="16B510BF" w14:textId="77777777" w:rsidR="00AB049C" w:rsidRDefault="00AB049C" w:rsidP="00FA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 important">
    <w:altName w:val="宋体"/>
    <w:charset w:val="00"/>
    <w:family w:val="auto"/>
    <w:pitch w:val="default"/>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7ABB" w14:textId="77777777" w:rsidR="00AB049C" w:rsidRDefault="00AB049C" w:rsidP="00FA6582">
      <w:r>
        <w:separator/>
      </w:r>
    </w:p>
  </w:footnote>
  <w:footnote w:type="continuationSeparator" w:id="0">
    <w:p w14:paraId="225CCC19" w14:textId="77777777" w:rsidR="00AB049C" w:rsidRDefault="00AB049C" w:rsidP="00FA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0C930"/>
    <w:multiLevelType w:val="singleLevel"/>
    <w:tmpl w:val="9560C930"/>
    <w:lvl w:ilvl="0">
      <w:start w:val="1"/>
      <w:numFmt w:val="decimal"/>
      <w:suff w:val="nothing"/>
      <w:lvlText w:val="%1、"/>
      <w:lvlJc w:val="left"/>
      <w:pPr>
        <w:widowControl/>
      </w:pPr>
    </w:lvl>
  </w:abstractNum>
  <w:abstractNum w:abstractNumId="1" w15:restartNumberingAfterBreak="0">
    <w:nsid w:val="D1DC27B7"/>
    <w:multiLevelType w:val="multilevel"/>
    <w:tmpl w:val="D1DC27B7"/>
    <w:lvl w:ilvl="0">
      <w:start w:val="1"/>
      <w:numFmt w:val="chineseCounting"/>
      <w:suff w:val="nothing"/>
      <w:lvlText w:val="第%1章 "/>
      <w:lvlJc w:val="left"/>
      <w:pPr>
        <w:ind w:left="432" w:hanging="432"/>
      </w:pPr>
      <w:rPr>
        <w:rFonts w:hint="eastAsia"/>
      </w:rPr>
    </w:lvl>
    <w:lvl w:ilvl="1">
      <w:start w:val="1"/>
      <w:numFmt w:val="decimal"/>
      <w:pStyle w:val="2"/>
      <w:lvlText w:val="%1.%2."/>
      <w:lvlJc w:val="left"/>
      <w:pPr>
        <w:ind w:left="575" w:hanging="575"/>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1" w:hanging="1151"/>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3NjQxYmZmN2ZkODIxYWNiNTEzMzQyMTZmNzQ1MmMifQ=="/>
  </w:docVars>
  <w:rsids>
    <w:rsidRoot w:val="00B55CC2"/>
    <w:rsid w:val="008845EE"/>
    <w:rsid w:val="00AB049C"/>
    <w:rsid w:val="00B55CC2"/>
    <w:rsid w:val="00CA3A6D"/>
    <w:rsid w:val="00FA6582"/>
    <w:rsid w:val="01187FC7"/>
    <w:rsid w:val="01867C43"/>
    <w:rsid w:val="01FB2325"/>
    <w:rsid w:val="02820350"/>
    <w:rsid w:val="02BA21FD"/>
    <w:rsid w:val="053363C8"/>
    <w:rsid w:val="05E72DB2"/>
    <w:rsid w:val="05EF21A1"/>
    <w:rsid w:val="068C79F0"/>
    <w:rsid w:val="082C5625"/>
    <w:rsid w:val="09265ED9"/>
    <w:rsid w:val="0AFA5AB5"/>
    <w:rsid w:val="0B841E2F"/>
    <w:rsid w:val="0BD7795F"/>
    <w:rsid w:val="0C1A784C"/>
    <w:rsid w:val="0C364685"/>
    <w:rsid w:val="0C872781"/>
    <w:rsid w:val="0D5B011C"/>
    <w:rsid w:val="0E4C7A0E"/>
    <w:rsid w:val="0F8E3E3F"/>
    <w:rsid w:val="0FF52AA9"/>
    <w:rsid w:val="10883E26"/>
    <w:rsid w:val="11475778"/>
    <w:rsid w:val="12330421"/>
    <w:rsid w:val="124D2729"/>
    <w:rsid w:val="145E2AD3"/>
    <w:rsid w:val="14891A12"/>
    <w:rsid w:val="15F72567"/>
    <w:rsid w:val="169923E1"/>
    <w:rsid w:val="16C201D5"/>
    <w:rsid w:val="16E746F9"/>
    <w:rsid w:val="16FF696E"/>
    <w:rsid w:val="17D61E88"/>
    <w:rsid w:val="186B3909"/>
    <w:rsid w:val="18DC0363"/>
    <w:rsid w:val="196B6A7D"/>
    <w:rsid w:val="19E90115"/>
    <w:rsid w:val="1A3D5FA0"/>
    <w:rsid w:val="1AC13CB4"/>
    <w:rsid w:val="1CC95AD8"/>
    <w:rsid w:val="1DF23E9B"/>
    <w:rsid w:val="1EA15E50"/>
    <w:rsid w:val="1F004157"/>
    <w:rsid w:val="1F164CF5"/>
    <w:rsid w:val="1FD77AD6"/>
    <w:rsid w:val="231D1CA3"/>
    <w:rsid w:val="23A14683"/>
    <w:rsid w:val="24C17CAC"/>
    <w:rsid w:val="25BA3D0E"/>
    <w:rsid w:val="25EA2CC2"/>
    <w:rsid w:val="269404CF"/>
    <w:rsid w:val="28632341"/>
    <w:rsid w:val="2A061630"/>
    <w:rsid w:val="2B3A4E18"/>
    <w:rsid w:val="2DC53F59"/>
    <w:rsid w:val="2F0E22D6"/>
    <w:rsid w:val="2F430CE4"/>
    <w:rsid w:val="2F821E1D"/>
    <w:rsid w:val="313C78B3"/>
    <w:rsid w:val="326571C3"/>
    <w:rsid w:val="32987847"/>
    <w:rsid w:val="349B7EAB"/>
    <w:rsid w:val="37BA43E6"/>
    <w:rsid w:val="3875661F"/>
    <w:rsid w:val="38EE7F12"/>
    <w:rsid w:val="38F117B0"/>
    <w:rsid w:val="396036DF"/>
    <w:rsid w:val="39ED1F78"/>
    <w:rsid w:val="3A7610B4"/>
    <w:rsid w:val="3B6049CB"/>
    <w:rsid w:val="3B7947C5"/>
    <w:rsid w:val="3CCB04F5"/>
    <w:rsid w:val="3E48627A"/>
    <w:rsid w:val="3E7A5DA4"/>
    <w:rsid w:val="3ED731F7"/>
    <w:rsid w:val="3F523965"/>
    <w:rsid w:val="3F5E7474"/>
    <w:rsid w:val="3FBB6674"/>
    <w:rsid w:val="426C1EA8"/>
    <w:rsid w:val="42BA70B7"/>
    <w:rsid w:val="44DD0E3B"/>
    <w:rsid w:val="455C26A8"/>
    <w:rsid w:val="456920DF"/>
    <w:rsid w:val="46085F1D"/>
    <w:rsid w:val="47095561"/>
    <w:rsid w:val="479906B0"/>
    <w:rsid w:val="47C87B80"/>
    <w:rsid w:val="47CF7161"/>
    <w:rsid w:val="47E81FD1"/>
    <w:rsid w:val="482D3E87"/>
    <w:rsid w:val="48657A89"/>
    <w:rsid w:val="4AF77953"/>
    <w:rsid w:val="4E8B1908"/>
    <w:rsid w:val="4EEC23A6"/>
    <w:rsid w:val="51DF615A"/>
    <w:rsid w:val="52234B05"/>
    <w:rsid w:val="525504A2"/>
    <w:rsid w:val="5267308A"/>
    <w:rsid w:val="536F35A6"/>
    <w:rsid w:val="54776C06"/>
    <w:rsid w:val="556C5FEF"/>
    <w:rsid w:val="56EA7B13"/>
    <w:rsid w:val="599431A3"/>
    <w:rsid w:val="59B9510A"/>
    <w:rsid w:val="59D13226"/>
    <w:rsid w:val="5A381A18"/>
    <w:rsid w:val="5C165C4E"/>
    <w:rsid w:val="5C6D1B67"/>
    <w:rsid w:val="5D3A288C"/>
    <w:rsid w:val="5EE63A7E"/>
    <w:rsid w:val="5F1647F4"/>
    <w:rsid w:val="5FE417A0"/>
    <w:rsid w:val="5FE80968"/>
    <w:rsid w:val="614534C7"/>
    <w:rsid w:val="62497A35"/>
    <w:rsid w:val="63A4729C"/>
    <w:rsid w:val="63B31E42"/>
    <w:rsid w:val="63FB240C"/>
    <w:rsid w:val="64C80727"/>
    <w:rsid w:val="653C4197"/>
    <w:rsid w:val="65513988"/>
    <w:rsid w:val="66A51361"/>
    <w:rsid w:val="67857251"/>
    <w:rsid w:val="68FD00A1"/>
    <w:rsid w:val="693C4AA5"/>
    <w:rsid w:val="695232F6"/>
    <w:rsid w:val="695F7A24"/>
    <w:rsid w:val="696030C1"/>
    <w:rsid w:val="6AAF0A00"/>
    <w:rsid w:val="6C066102"/>
    <w:rsid w:val="6D221F15"/>
    <w:rsid w:val="6E724548"/>
    <w:rsid w:val="6E751F61"/>
    <w:rsid w:val="6EC56AE8"/>
    <w:rsid w:val="6F991C7F"/>
    <w:rsid w:val="6FCE5D9E"/>
    <w:rsid w:val="6FF46B0F"/>
    <w:rsid w:val="72F07E08"/>
    <w:rsid w:val="73843B20"/>
    <w:rsid w:val="74455D87"/>
    <w:rsid w:val="746A5413"/>
    <w:rsid w:val="74E97204"/>
    <w:rsid w:val="751853F4"/>
    <w:rsid w:val="75E4177A"/>
    <w:rsid w:val="76253251"/>
    <w:rsid w:val="76593F16"/>
    <w:rsid w:val="769C4061"/>
    <w:rsid w:val="77106CCA"/>
    <w:rsid w:val="78182220"/>
    <w:rsid w:val="7C446208"/>
    <w:rsid w:val="7EAD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0B43"/>
  <w15:docId w15:val="{BF6AE12A-224E-41A5-8F91-4334914A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UserStyle19"/>
    <w:autoRedefine/>
    <w:qFormat/>
    <w:pPr>
      <w:jc w:val="both"/>
    </w:pPr>
    <w:rPr>
      <w:rFonts w:ascii="Calibri" w:hAnsi="Calibri" w:cstheme="minorBidi"/>
      <w:kern w:val="2"/>
      <w:sz w:val="21"/>
      <w:szCs w:val="24"/>
    </w:rPr>
  </w:style>
  <w:style w:type="paragraph" w:styleId="2">
    <w:name w:val="heading 2"/>
    <w:basedOn w:val="a"/>
    <w:autoRedefine/>
    <w:qFormat/>
    <w:pPr>
      <w:numPr>
        <w:ilvl w:val="1"/>
        <w:numId w:val="1"/>
      </w:numPr>
      <w:spacing w:beforeAutospacing="1" w:afterAutospacing="1"/>
      <w:jc w:val="left"/>
      <w:outlineLvl w:val="1"/>
    </w:pPr>
    <w:rPr>
      <w:rFonts w:ascii="宋体" w:hAnsi="宋体" w:cs="宋体"/>
      <w:b/>
      <w:bCs/>
      <w:sz w:val="24"/>
      <w:szCs w:val="36"/>
    </w:rPr>
  </w:style>
  <w:style w:type="paragraph" w:styleId="3">
    <w:name w:val="heading 3"/>
    <w:basedOn w:val="a"/>
    <w:autoRedefine/>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NormalCharacter"/>
    <w:autoRedefine/>
    <w:qFormat/>
    <w:rPr>
      <w:b/>
    </w:rPr>
  </w:style>
  <w:style w:type="character" w:customStyle="1" w:styleId="NormalCharacter">
    <w:name w:val="NormalCharacter"/>
    <w:autoRedefine/>
    <w:semiHidden/>
    <w:qFormat/>
  </w:style>
  <w:style w:type="character" w:styleId="a5">
    <w:name w:val="FollowedHyperlink"/>
    <w:basedOn w:val="NormalCharacter"/>
    <w:autoRedefine/>
    <w:qFormat/>
    <w:rPr>
      <w:color w:val="000000"/>
      <w:sz w:val="18"/>
      <w:szCs w:val="18"/>
    </w:rPr>
  </w:style>
  <w:style w:type="character" w:styleId="a6">
    <w:name w:val="Emphasis"/>
    <w:basedOn w:val="NormalCharacter"/>
    <w:autoRedefine/>
    <w:qFormat/>
    <w:rPr>
      <w:i/>
    </w:rPr>
  </w:style>
  <w:style w:type="character" w:styleId="a7">
    <w:name w:val="Hyperlink"/>
    <w:basedOn w:val="a0"/>
    <w:autoRedefine/>
    <w:qFormat/>
    <w:rPr>
      <w:color w:val="000000"/>
      <w:sz w:val="18"/>
      <w:szCs w:val="18"/>
    </w:rPr>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HtmlPre">
    <w:name w:val="HtmlPre"/>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HtmlNormal">
    <w:name w:val="HtmlNormal"/>
    <w:basedOn w:val="a"/>
    <w:autoRedefine/>
    <w:qFormat/>
    <w:pPr>
      <w:spacing w:before="100" w:beforeAutospacing="1" w:after="100" w:afterAutospacing="1"/>
      <w:jc w:val="left"/>
    </w:pPr>
    <w:rPr>
      <w:kern w:val="0"/>
      <w:sz w:val="24"/>
    </w:rPr>
  </w:style>
  <w:style w:type="character" w:customStyle="1" w:styleId="UserStyle0">
    <w:name w:val="UserStyle_0"/>
    <w:basedOn w:val="NormalCharacter"/>
    <w:autoRedefine/>
    <w:qFormat/>
    <w:rPr>
      <w:bdr w:val="single" w:sz="0" w:space="0" w:color="000000"/>
    </w:rPr>
  </w:style>
  <w:style w:type="character" w:customStyle="1" w:styleId="UserStyle1">
    <w:name w:val="UserStyle_1"/>
    <w:basedOn w:val="NormalCharacter"/>
    <w:autoRedefine/>
    <w:qFormat/>
    <w:rPr>
      <w:bdr w:val="single" w:sz="228" w:space="0" w:color="000000"/>
    </w:rPr>
  </w:style>
  <w:style w:type="character" w:customStyle="1" w:styleId="UserStyle2">
    <w:name w:val="UserStyle_2"/>
    <w:basedOn w:val="NormalCharacter"/>
    <w:autoRedefine/>
    <w:qFormat/>
  </w:style>
  <w:style w:type="character" w:customStyle="1" w:styleId="UserStyle3">
    <w:name w:val="UserStyle_3"/>
    <w:basedOn w:val="NormalCharacter"/>
    <w:autoRedefine/>
    <w:qFormat/>
    <w:rPr>
      <w:rFonts w:ascii="微软雅黑" w:eastAsia="微软雅黑" w:hAnsi="微软雅黑" w:cs="微软雅黑"/>
      <w:b/>
      <w:bCs/>
      <w:color w:val="C60303"/>
      <w:sz w:val="24"/>
      <w:szCs w:val="24"/>
    </w:rPr>
  </w:style>
  <w:style w:type="character" w:customStyle="1" w:styleId="UserStyle4">
    <w:name w:val="UserStyle_4"/>
    <w:basedOn w:val="NormalCharacter"/>
    <w:autoRedefine/>
    <w:qFormat/>
    <w:rPr>
      <w:color w:val="FFFFFF"/>
      <w:bdr w:val="single" w:sz="38" w:space="0" w:color="000000"/>
    </w:rPr>
  </w:style>
  <w:style w:type="character" w:customStyle="1" w:styleId="UserStyle5">
    <w:name w:val="UserStyle_5"/>
    <w:basedOn w:val="NormalCharacter"/>
    <w:autoRedefine/>
    <w:qFormat/>
  </w:style>
  <w:style w:type="character" w:customStyle="1" w:styleId="UserStyle6">
    <w:name w:val="UserStyle_6"/>
    <w:basedOn w:val="NormalCharacter"/>
    <w:autoRedefine/>
    <w:qFormat/>
    <w:rPr>
      <w:bdr w:val="single" w:sz="254" w:space="0" w:color="000000"/>
    </w:rPr>
  </w:style>
  <w:style w:type="character" w:customStyle="1" w:styleId="UserStyle7">
    <w:name w:val="UserStyle_7"/>
    <w:basedOn w:val="NormalCharacter"/>
    <w:autoRedefine/>
    <w:qFormat/>
    <w:rPr>
      <w:bdr w:val="single" w:sz="14" w:space="0" w:color="000000"/>
    </w:rPr>
  </w:style>
  <w:style w:type="character" w:customStyle="1" w:styleId="UserStyle8">
    <w:name w:val="UserStyle_8"/>
    <w:basedOn w:val="NormalCharacter"/>
    <w:autoRedefine/>
    <w:qFormat/>
    <w:rPr>
      <w:shd w:val="clear" w:color="auto" w:fill="95C25D"/>
    </w:rPr>
  </w:style>
  <w:style w:type="character" w:customStyle="1" w:styleId="UserStyle9">
    <w:name w:val="UserStyle_9"/>
    <w:basedOn w:val="NormalCharacter"/>
    <w:autoRedefine/>
    <w:qFormat/>
    <w:rPr>
      <w:rFonts w:cs="Times New Roman"/>
      <w:b/>
      <w:bCs/>
      <w:color w:val="FFFFFF"/>
    </w:rPr>
  </w:style>
  <w:style w:type="character" w:customStyle="1" w:styleId="UserStyle10">
    <w:name w:val="UserStyle_10"/>
    <w:basedOn w:val="NormalCharacter"/>
    <w:autoRedefine/>
    <w:qFormat/>
  </w:style>
  <w:style w:type="character" w:customStyle="1" w:styleId="UserStyle11">
    <w:name w:val="UserStyle_11"/>
    <w:basedOn w:val="NormalCharacter"/>
    <w:autoRedefine/>
    <w:qFormat/>
  </w:style>
  <w:style w:type="character" w:customStyle="1" w:styleId="UserStyle12">
    <w:name w:val="UserStyle_12"/>
    <w:basedOn w:val="NormalCharacter"/>
    <w:autoRedefine/>
    <w:qFormat/>
    <w:rPr>
      <w:color w:val="FFFFFF"/>
    </w:rPr>
  </w:style>
  <w:style w:type="character" w:customStyle="1" w:styleId="UserStyle13">
    <w:name w:val="UserStyle_13"/>
    <w:basedOn w:val="NormalCharacter"/>
    <w:autoRedefine/>
    <w:qFormat/>
    <w:rPr>
      <w:color w:val="FFFFFF"/>
      <w:bdr w:val="single" w:sz="18" w:space="0" w:color="000000"/>
      <w:shd w:val="clear" w:color="auto" w:fill="3883E0"/>
    </w:rPr>
  </w:style>
  <w:style w:type="character" w:customStyle="1" w:styleId="UserStyle14">
    <w:name w:val="UserStyle_14"/>
    <w:basedOn w:val="NormalCharacter"/>
    <w:autoRedefine/>
    <w:qFormat/>
  </w:style>
  <w:style w:type="character" w:customStyle="1" w:styleId="UserStyle15">
    <w:name w:val="UserStyle_15"/>
    <w:basedOn w:val="NormalCharacter"/>
    <w:autoRedefine/>
    <w:qFormat/>
    <w:rPr>
      <w:rFonts w:ascii="宋体" w:eastAsia="宋体" w:hAnsi="宋体"/>
    </w:rPr>
  </w:style>
  <w:style w:type="character" w:customStyle="1" w:styleId="UserStyle16">
    <w:name w:val="UserStyle_16"/>
    <w:basedOn w:val="NormalCharacter"/>
    <w:autoRedefine/>
    <w:qFormat/>
    <w:rPr>
      <w:rFonts w:ascii="宋体 ! important" w:eastAsia="宋体 ! important" w:hAnsi="宋体 ! important"/>
      <w:color w:val="454545"/>
      <w:sz w:val="21"/>
      <w:szCs w:val="21"/>
    </w:rPr>
  </w:style>
  <w:style w:type="character" w:customStyle="1" w:styleId="UserStyle17">
    <w:name w:val="UserStyle_17"/>
    <w:basedOn w:val="NormalCharacter"/>
    <w:autoRedefine/>
    <w:qFormat/>
    <w:rPr>
      <w:rFonts w:ascii="宋体 ! important" w:eastAsia="宋体 ! important" w:hAnsi="宋体 ! important"/>
      <w:color w:val="454545"/>
      <w:sz w:val="18"/>
      <w:szCs w:val="18"/>
    </w:rPr>
  </w:style>
  <w:style w:type="character" w:customStyle="1" w:styleId="UserStyle18">
    <w:name w:val="UserStyle_18"/>
    <w:basedOn w:val="NormalCharacter"/>
    <w:autoRedefine/>
    <w:qFormat/>
  </w:style>
  <w:style w:type="character" w:customStyle="1" w:styleId="UserStyle19">
    <w:name w:val="UserStyle_19"/>
    <w:basedOn w:val="NormalCharacter"/>
    <w:autoRedefine/>
    <w:qFormat/>
  </w:style>
  <w:style w:type="paragraph" w:styleId="a8">
    <w:name w:val="header"/>
    <w:basedOn w:val="a"/>
    <w:link w:val="a9"/>
    <w:rsid w:val="00FA658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A6582"/>
    <w:rPr>
      <w:rFonts w:ascii="Calibri" w:hAnsi="Calibri" w:cstheme="minorBidi"/>
      <w:kern w:val="2"/>
      <w:sz w:val="18"/>
      <w:szCs w:val="18"/>
    </w:rPr>
  </w:style>
  <w:style w:type="paragraph" w:styleId="aa">
    <w:name w:val="footer"/>
    <w:basedOn w:val="a"/>
    <w:link w:val="ab"/>
    <w:rsid w:val="00FA6582"/>
    <w:pPr>
      <w:tabs>
        <w:tab w:val="center" w:pos="4153"/>
        <w:tab w:val="right" w:pos="8306"/>
      </w:tabs>
      <w:snapToGrid w:val="0"/>
      <w:jc w:val="left"/>
    </w:pPr>
    <w:rPr>
      <w:sz w:val="18"/>
      <w:szCs w:val="18"/>
    </w:rPr>
  </w:style>
  <w:style w:type="character" w:customStyle="1" w:styleId="ab">
    <w:name w:val="页脚 字符"/>
    <w:basedOn w:val="a0"/>
    <w:link w:val="aa"/>
    <w:rsid w:val="00FA6582"/>
    <w:rPr>
      <w:rFonts w:ascii="Calibri"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牙 邱</cp:lastModifiedBy>
  <cp:revision>2</cp:revision>
  <dcterms:created xsi:type="dcterms:W3CDTF">2024-03-15T06:15:00Z</dcterms:created>
  <dcterms:modified xsi:type="dcterms:W3CDTF">2024-03-15T06:15:00Z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DCB3A3EC2A6C446C98A18D1FDDC6D650_13</vt:lpwstr>
  </property>
</Properties>
</file>